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09CE14" w14:textId="5FA2C07C" w:rsidR="00090EBE" w:rsidRDefault="00090EBE"/>
    <w:p w14:paraId="0E5CF0F4" w14:textId="7BFCB9EB" w:rsidR="005D4665" w:rsidRPr="009451FB" w:rsidRDefault="001E1FDC" w:rsidP="004473FF">
      <w:pPr>
        <w:spacing w:line="240" w:lineRule="auto"/>
        <w:jc w:val="center"/>
        <w:rPr>
          <w:rFonts w:ascii="Arial" w:hAnsi="Arial" w:cs="Arial"/>
          <w:b/>
          <w:bCs/>
          <w:sz w:val="24"/>
          <w:szCs w:val="24"/>
        </w:rPr>
      </w:pPr>
      <w:r w:rsidRPr="009451FB">
        <w:rPr>
          <w:rFonts w:ascii="Arial" w:hAnsi="Arial" w:cs="Arial"/>
          <w:b/>
          <w:bCs/>
          <w:sz w:val="24"/>
          <w:szCs w:val="24"/>
        </w:rPr>
        <w:t>22° SIMPOSIO SOBRE LEGISLACION TRIBUTARIA ARGENTINA</w:t>
      </w:r>
    </w:p>
    <w:p w14:paraId="322ACC9E" w14:textId="7DCB50EB" w:rsidR="001E1FDC" w:rsidRPr="009451FB" w:rsidRDefault="001E1FDC" w:rsidP="004473FF">
      <w:pPr>
        <w:spacing w:line="240" w:lineRule="auto"/>
        <w:jc w:val="center"/>
        <w:rPr>
          <w:rFonts w:ascii="Arial" w:hAnsi="Arial" w:cs="Arial"/>
          <w:b/>
          <w:bCs/>
          <w:sz w:val="24"/>
          <w:szCs w:val="24"/>
        </w:rPr>
      </w:pPr>
      <w:r w:rsidRPr="009451FB">
        <w:rPr>
          <w:rFonts w:ascii="Arial" w:hAnsi="Arial" w:cs="Arial"/>
          <w:b/>
          <w:bCs/>
          <w:sz w:val="24"/>
          <w:szCs w:val="24"/>
        </w:rPr>
        <w:t>Consejo Profesional de Ciencias Económicas de la Ciudad Autónoma de Buenos Aires</w:t>
      </w:r>
    </w:p>
    <w:p w14:paraId="7BEC3CA1" w14:textId="6F2B4449" w:rsidR="001E1FDC" w:rsidRPr="009451FB" w:rsidRDefault="001E1FDC" w:rsidP="004473FF">
      <w:pPr>
        <w:spacing w:line="240" w:lineRule="auto"/>
        <w:jc w:val="center"/>
        <w:rPr>
          <w:rFonts w:ascii="Arial" w:hAnsi="Arial" w:cs="Arial"/>
          <w:b/>
          <w:bCs/>
          <w:sz w:val="24"/>
          <w:szCs w:val="24"/>
        </w:rPr>
      </w:pPr>
      <w:r w:rsidRPr="009451FB">
        <w:rPr>
          <w:rFonts w:ascii="Arial" w:hAnsi="Arial" w:cs="Arial"/>
          <w:b/>
          <w:bCs/>
          <w:sz w:val="24"/>
          <w:szCs w:val="24"/>
        </w:rPr>
        <w:t>3 al 6 de noviembre de 2020</w:t>
      </w:r>
    </w:p>
    <w:p w14:paraId="0EDAD0DA" w14:textId="77777777" w:rsidR="00D80DD5" w:rsidRDefault="00D80DD5" w:rsidP="009451FB">
      <w:pPr>
        <w:spacing w:line="240" w:lineRule="auto"/>
        <w:jc w:val="both"/>
        <w:rPr>
          <w:rFonts w:ascii="Arial" w:hAnsi="Arial" w:cs="Arial"/>
          <w:b/>
          <w:bCs/>
          <w:sz w:val="24"/>
          <w:szCs w:val="24"/>
        </w:rPr>
      </w:pPr>
    </w:p>
    <w:p w14:paraId="2296293A" w14:textId="29757411" w:rsidR="001E1FDC" w:rsidRPr="009451FB" w:rsidRDefault="001E1FDC" w:rsidP="0029335C">
      <w:pPr>
        <w:spacing w:line="240" w:lineRule="auto"/>
        <w:rPr>
          <w:rFonts w:ascii="Arial" w:hAnsi="Arial" w:cs="Arial"/>
          <w:b/>
          <w:bCs/>
          <w:sz w:val="24"/>
          <w:szCs w:val="24"/>
        </w:rPr>
      </w:pPr>
      <w:r w:rsidRPr="009451FB">
        <w:rPr>
          <w:rFonts w:ascii="Arial" w:hAnsi="Arial" w:cs="Arial"/>
          <w:b/>
          <w:bCs/>
          <w:sz w:val="24"/>
          <w:szCs w:val="24"/>
        </w:rPr>
        <w:t>Comisión N° 2</w:t>
      </w:r>
    </w:p>
    <w:p w14:paraId="3B288013" w14:textId="2F9C7099" w:rsidR="001E1FDC" w:rsidRDefault="00D80DD5" w:rsidP="0029335C">
      <w:pPr>
        <w:spacing w:line="240" w:lineRule="auto"/>
        <w:rPr>
          <w:rFonts w:ascii="Arial" w:hAnsi="Arial" w:cs="Arial"/>
          <w:b/>
          <w:bCs/>
          <w:sz w:val="24"/>
          <w:szCs w:val="24"/>
        </w:rPr>
      </w:pPr>
      <w:r>
        <w:rPr>
          <w:rFonts w:ascii="Arial" w:hAnsi="Arial" w:cs="Arial"/>
          <w:b/>
          <w:bCs/>
          <w:sz w:val="24"/>
          <w:szCs w:val="24"/>
        </w:rPr>
        <w:t>Tema</w:t>
      </w:r>
      <w:r w:rsidR="001E1FDC" w:rsidRPr="009451FB">
        <w:rPr>
          <w:rFonts w:ascii="Arial" w:hAnsi="Arial" w:cs="Arial"/>
          <w:b/>
          <w:bCs/>
          <w:sz w:val="24"/>
          <w:szCs w:val="24"/>
        </w:rPr>
        <w:t>: “Tributación y Género”</w:t>
      </w:r>
    </w:p>
    <w:p w14:paraId="5FF5CC32" w14:textId="5849E18A" w:rsidR="00D80DD5" w:rsidRPr="0029335C" w:rsidRDefault="00D80DD5" w:rsidP="0029335C">
      <w:pPr>
        <w:spacing w:line="240" w:lineRule="auto"/>
        <w:rPr>
          <w:rFonts w:ascii="Arial" w:hAnsi="Arial" w:cs="Arial"/>
          <w:b/>
          <w:bCs/>
          <w:sz w:val="24"/>
          <w:szCs w:val="24"/>
        </w:rPr>
      </w:pPr>
      <w:r w:rsidRPr="0029335C">
        <w:rPr>
          <w:rFonts w:ascii="Arial" w:hAnsi="Arial" w:cs="Arial"/>
          <w:b/>
          <w:bCs/>
          <w:sz w:val="24"/>
          <w:szCs w:val="24"/>
        </w:rPr>
        <w:t>Presidenta: Dra. C.P. Miriam S. Roldan</w:t>
      </w:r>
    </w:p>
    <w:p w14:paraId="0756AA4C" w14:textId="2F2697FF" w:rsidR="00D80DD5" w:rsidRPr="0029335C" w:rsidRDefault="00D80DD5" w:rsidP="0029335C">
      <w:pPr>
        <w:spacing w:line="240" w:lineRule="auto"/>
        <w:rPr>
          <w:rFonts w:ascii="Arial" w:hAnsi="Arial" w:cs="Arial"/>
          <w:b/>
          <w:bCs/>
          <w:sz w:val="24"/>
          <w:szCs w:val="24"/>
        </w:rPr>
      </w:pPr>
      <w:r w:rsidRPr="0029335C">
        <w:rPr>
          <w:rFonts w:ascii="Arial" w:hAnsi="Arial" w:cs="Arial"/>
          <w:b/>
          <w:bCs/>
          <w:sz w:val="24"/>
          <w:szCs w:val="24"/>
        </w:rPr>
        <w:t>Relator: Dr. C.P. Sebastián M. Domínguez</w:t>
      </w:r>
    </w:p>
    <w:p w14:paraId="43DC0421" w14:textId="3C971BB5" w:rsidR="00D80DD5" w:rsidRPr="0029335C" w:rsidRDefault="00D80DD5" w:rsidP="0029335C">
      <w:pPr>
        <w:spacing w:line="240" w:lineRule="auto"/>
        <w:rPr>
          <w:rFonts w:ascii="Arial" w:hAnsi="Arial" w:cs="Arial"/>
          <w:b/>
          <w:bCs/>
          <w:sz w:val="24"/>
          <w:szCs w:val="24"/>
        </w:rPr>
      </w:pPr>
      <w:r w:rsidRPr="0029335C">
        <w:rPr>
          <w:rFonts w:ascii="Arial" w:hAnsi="Arial" w:cs="Arial"/>
          <w:b/>
          <w:bCs/>
          <w:sz w:val="24"/>
          <w:szCs w:val="24"/>
        </w:rPr>
        <w:t>Secretaria: Dra. C.P. Valeria Petrucci</w:t>
      </w:r>
    </w:p>
    <w:p w14:paraId="0551FF88" w14:textId="43F3859E" w:rsidR="001F00D8" w:rsidRPr="009451FB" w:rsidRDefault="001F00D8" w:rsidP="0029335C">
      <w:pPr>
        <w:spacing w:line="240" w:lineRule="auto"/>
        <w:rPr>
          <w:rFonts w:ascii="Arial" w:hAnsi="Arial" w:cs="Arial"/>
          <w:b/>
          <w:bCs/>
          <w:sz w:val="24"/>
          <w:szCs w:val="24"/>
        </w:rPr>
      </w:pPr>
    </w:p>
    <w:p w14:paraId="1832D492" w14:textId="72C55F06" w:rsidR="001E1FDC" w:rsidRPr="00D80DD5" w:rsidRDefault="00D80DD5" w:rsidP="0029335C">
      <w:pPr>
        <w:spacing w:line="240" w:lineRule="auto"/>
        <w:rPr>
          <w:rFonts w:ascii="Arial" w:hAnsi="Arial" w:cs="Arial"/>
          <w:bCs/>
          <w:sz w:val="24"/>
          <w:szCs w:val="24"/>
        </w:rPr>
      </w:pPr>
      <w:r w:rsidRPr="00D80DD5">
        <w:rPr>
          <w:rFonts w:ascii="Arial" w:hAnsi="Arial" w:cs="Arial"/>
          <w:bCs/>
          <w:sz w:val="24"/>
          <w:szCs w:val="24"/>
        </w:rPr>
        <w:t>Título</w:t>
      </w:r>
      <w:r w:rsidR="001E1FDC" w:rsidRPr="00D80DD5">
        <w:rPr>
          <w:rFonts w:ascii="Arial" w:hAnsi="Arial" w:cs="Arial"/>
          <w:bCs/>
          <w:sz w:val="24"/>
          <w:szCs w:val="24"/>
        </w:rPr>
        <w:t>:</w:t>
      </w:r>
    </w:p>
    <w:p w14:paraId="37ADB2B2" w14:textId="3C49905A" w:rsidR="001E1FDC" w:rsidRPr="009451FB" w:rsidRDefault="001E1FDC" w:rsidP="0029335C">
      <w:pPr>
        <w:spacing w:line="240" w:lineRule="auto"/>
        <w:rPr>
          <w:rFonts w:ascii="Arial" w:hAnsi="Arial" w:cs="Arial"/>
          <w:b/>
          <w:bCs/>
          <w:sz w:val="24"/>
          <w:szCs w:val="24"/>
        </w:rPr>
      </w:pPr>
      <w:r w:rsidRPr="009451FB">
        <w:rPr>
          <w:rFonts w:ascii="Arial" w:hAnsi="Arial" w:cs="Arial"/>
          <w:b/>
          <w:bCs/>
          <w:sz w:val="24"/>
          <w:szCs w:val="24"/>
        </w:rPr>
        <w:t>BRECHA DE GÉNERO LABORAL, PREVISIONAL Y DEL IMPUESTO A LAS GANANCIAS EN LA REPUBLICA ARGENTINA – ANALISIS DE LA SITUACION ACTUAL Y UNA APROXIMACION A REDUCIRLA.</w:t>
      </w:r>
    </w:p>
    <w:p w14:paraId="7059E0B4" w14:textId="77777777" w:rsidR="00D80DD5" w:rsidRPr="00D80DD5" w:rsidRDefault="00D80DD5" w:rsidP="0029335C">
      <w:pPr>
        <w:spacing w:line="240" w:lineRule="auto"/>
        <w:rPr>
          <w:rFonts w:ascii="Arial" w:hAnsi="Arial" w:cs="Arial"/>
          <w:bCs/>
          <w:sz w:val="24"/>
          <w:szCs w:val="24"/>
        </w:rPr>
      </w:pPr>
      <w:r w:rsidRPr="00D80DD5">
        <w:rPr>
          <w:rFonts w:ascii="Arial" w:hAnsi="Arial" w:cs="Arial"/>
          <w:bCs/>
          <w:sz w:val="24"/>
          <w:szCs w:val="24"/>
        </w:rPr>
        <w:t>Autoras:</w:t>
      </w:r>
    </w:p>
    <w:p w14:paraId="149C1B7E" w14:textId="498F0BF1" w:rsidR="00D80DD5" w:rsidRDefault="00E9070F" w:rsidP="0029335C">
      <w:pPr>
        <w:spacing w:line="240" w:lineRule="auto"/>
        <w:rPr>
          <w:rFonts w:ascii="Arial" w:hAnsi="Arial" w:cs="Arial"/>
          <w:b/>
          <w:bCs/>
          <w:sz w:val="24"/>
          <w:szCs w:val="24"/>
        </w:rPr>
      </w:pPr>
      <w:r>
        <w:rPr>
          <w:rFonts w:ascii="Arial" w:hAnsi="Arial" w:cs="Arial"/>
          <w:b/>
          <w:bCs/>
          <w:sz w:val="24"/>
          <w:szCs w:val="24"/>
        </w:rPr>
        <w:t xml:space="preserve">Dra. </w:t>
      </w:r>
      <w:r w:rsidR="00D80DD5" w:rsidRPr="009451FB">
        <w:rPr>
          <w:rFonts w:ascii="Arial" w:hAnsi="Arial" w:cs="Arial"/>
          <w:b/>
          <w:bCs/>
          <w:sz w:val="24"/>
          <w:szCs w:val="24"/>
        </w:rPr>
        <w:t>C.</w:t>
      </w:r>
      <w:r w:rsidR="00D80DD5">
        <w:rPr>
          <w:rFonts w:ascii="Arial" w:hAnsi="Arial" w:cs="Arial"/>
          <w:b/>
          <w:bCs/>
          <w:sz w:val="24"/>
          <w:szCs w:val="24"/>
        </w:rPr>
        <w:t xml:space="preserve">P. Adriana Gabriela Marinelli </w:t>
      </w:r>
    </w:p>
    <w:p w14:paraId="43D76393" w14:textId="0FC9E5FC" w:rsidR="00D80DD5" w:rsidRDefault="00E9070F" w:rsidP="0029335C">
      <w:pPr>
        <w:spacing w:line="240" w:lineRule="auto"/>
        <w:rPr>
          <w:rFonts w:ascii="Arial" w:hAnsi="Arial" w:cs="Arial"/>
          <w:b/>
          <w:bCs/>
          <w:sz w:val="24"/>
          <w:szCs w:val="24"/>
        </w:rPr>
      </w:pPr>
      <w:r>
        <w:rPr>
          <w:rFonts w:ascii="Arial" w:hAnsi="Arial" w:cs="Arial"/>
          <w:b/>
          <w:bCs/>
          <w:sz w:val="24"/>
          <w:szCs w:val="24"/>
        </w:rPr>
        <w:t xml:space="preserve">Dra. </w:t>
      </w:r>
      <w:bookmarkStart w:id="0" w:name="_GoBack"/>
      <w:bookmarkEnd w:id="0"/>
      <w:r w:rsidR="00D80DD5">
        <w:rPr>
          <w:rFonts w:ascii="Arial" w:hAnsi="Arial" w:cs="Arial"/>
          <w:b/>
          <w:bCs/>
          <w:sz w:val="24"/>
          <w:szCs w:val="24"/>
        </w:rPr>
        <w:t xml:space="preserve">C.P. Eliana Muñoz </w:t>
      </w:r>
    </w:p>
    <w:p w14:paraId="32FC98A4" w14:textId="77777777" w:rsidR="001E1FDC" w:rsidRPr="009451FB" w:rsidRDefault="001E1FDC" w:rsidP="0029335C">
      <w:pPr>
        <w:spacing w:line="240" w:lineRule="auto"/>
        <w:rPr>
          <w:rFonts w:ascii="Arial" w:hAnsi="Arial" w:cs="Arial"/>
          <w:b/>
          <w:bCs/>
          <w:sz w:val="24"/>
          <w:szCs w:val="24"/>
        </w:rPr>
      </w:pPr>
    </w:p>
    <w:p w14:paraId="3F0C8205" w14:textId="77777777" w:rsidR="005D4665" w:rsidRPr="009451FB" w:rsidRDefault="005D4665" w:rsidP="0029335C">
      <w:pPr>
        <w:spacing w:line="240" w:lineRule="auto"/>
        <w:rPr>
          <w:rFonts w:ascii="Arial" w:hAnsi="Arial" w:cs="Arial"/>
          <w:b/>
          <w:bCs/>
          <w:sz w:val="24"/>
          <w:szCs w:val="24"/>
        </w:rPr>
      </w:pPr>
    </w:p>
    <w:p w14:paraId="7074B3DB" w14:textId="77777777" w:rsidR="001E1FDC" w:rsidRPr="009451FB" w:rsidRDefault="001E1FDC" w:rsidP="009451FB">
      <w:pPr>
        <w:spacing w:line="240" w:lineRule="auto"/>
        <w:jc w:val="both"/>
        <w:rPr>
          <w:rFonts w:ascii="Arial" w:hAnsi="Arial" w:cs="Arial"/>
          <w:b/>
          <w:bCs/>
          <w:sz w:val="24"/>
          <w:szCs w:val="24"/>
        </w:rPr>
      </w:pPr>
    </w:p>
    <w:p w14:paraId="449D30A0" w14:textId="77777777" w:rsidR="001E1FDC" w:rsidRPr="009451FB" w:rsidRDefault="001E1FDC" w:rsidP="009451FB">
      <w:pPr>
        <w:spacing w:line="240" w:lineRule="auto"/>
        <w:jc w:val="both"/>
        <w:rPr>
          <w:rFonts w:ascii="Arial" w:hAnsi="Arial" w:cs="Arial"/>
          <w:b/>
          <w:bCs/>
          <w:sz w:val="24"/>
          <w:szCs w:val="24"/>
        </w:rPr>
      </w:pPr>
    </w:p>
    <w:p w14:paraId="2D1DB11E" w14:textId="77777777" w:rsidR="001E1FDC" w:rsidRPr="009451FB" w:rsidRDefault="001E1FDC" w:rsidP="009451FB">
      <w:pPr>
        <w:spacing w:line="240" w:lineRule="auto"/>
        <w:jc w:val="both"/>
        <w:rPr>
          <w:rFonts w:ascii="Arial" w:hAnsi="Arial" w:cs="Arial"/>
          <w:b/>
          <w:bCs/>
          <w:sz w:val="24"/>
          <w:szCs w:val="24"/>
        </w:rPr>
      </w:pPr>
    </w:p>
    <w:p w14:paraId="669DA235" w14:textId="77777777" w:rsidR="001E1FDC" w:rsidRPr="009451FB" w:rsidRDefault="001E1FDC" w:rsidP="009451FB">
      <w:pPr>
        <w:spacing w:line="240" w:lineRule="auto"/>
        <w:jc w:val="both"/>
        <w:rPr>
          <w:rFonts w:ascii="Arial" w:hAnsi="Arial" w:cs="Arial"/>
          <w:b/>
          <w:bCs/>
          <w:sz w:val="24"/>
          <w:szCs w:val="24"/>
        </w:rPr>
      </w:pPr>
    </w:p>
    <w:p w14:paraId="59A269EE" w14:textId="77777777" w:rsidR="001E1FDC" w:rsidRPr="009451FB" w:rsidRDefault="001E1FDC" w:rsidP="009451FB">
      <w:pPr>
        <w:spacing w:line="240" w:lineRule="auto"/>
        <w:jc w:val="both"/>
        <w:rPr>
          <w:rFonts w:ascii="Arial" w:hAnsi="Arial" w:cs="Arial"/>
          <w:b/>
          <w:bCs/>
          <w:sz w:val="24"/>
          <w:szCs w:val="24"/>
        </w:rPr>
      </w:pPr>
    </w:p>
    <w:p w14:paraId="51258071" w14:textId="77777777" w:rsidR="001E1FDC" w:rsidRPr="009451FB" w:rsidRDefault="001E1FDC" w:rsidP="009451FB">
      <w:pPr>
        <w:spacing w:line="240" w:lineRule="auto"/>
        <w:jc w:val="both"/>
        <w:rPr>
          <w:rFonts w:ascii="Arial" w:hAnsi="Arial" w:cs="Arial"/>
          <w:b/>
          <w:bCs/>
          <w:sz w:val="24"/>
          <w:szCs w:val="24"/>
        </w:rPr>
      </w:pPr>
    </w:p>
    <w:p w14:paraId="4803B498" w14:textId="77777777" w:rsidR="001E1FDC" w:rsidRPr="009451FB" w:rsidRDefault="001E1FDC" w:rsidP="009451FB">
      <w:pPr>
        <w:spacing w:line="240" w:lineRule="auto"/>
        <w:jc w:val="both"/>
        <w:rPr>
          <w:rFonts w:ascii="Arial" w:hAnsi="Arial" w:cs="Arial"/>
          <w:b/>
          <w:bCs/>
          <w:sz w:val="24"/>
          <w:szCs w:val="24"/>
        </w:rPr>
      </w:pPr>
    </w:p>
    <w:p w14:paraId="526850FE" w14:textId="77777777" w:rsidR="001E1FDC" w:rsidRPr="009451FB" w:rsidRDefault="001E1FDC" w:rsidP="009451FB">
      <w:pPr>
        <w:spacing w:line="240" w:lineRule="auto"/>
        <w:jc w:val="both"/>
        <w:rPr>
          <w:rFonts w:ascii="Arial" w:hAnsi="Arial" w:cs="Arial"/>
          <w:b/>
          <w:bCs/>
          <w:sz w:val="24"/>
          <w:szCs w:val="24"/>
        </w:rPr>
      </w:pPr>
    </w:p>
    <w:p w14:paraId="743A0592" w14:textId="77777777" w:rsidR="001E1FDC" w:rsidRPr="009451FB" w:rsidRDefault="001E1FDC" w:rsidP="009451FB">
      <w:pPr>
        <w:spacing w:line="240" w:lineRule="auto"/>
        <w:jc w:val="both"/>
        <w:rPr>
          <w:rFonts w:ascii="Arial" w:hAnsi="Arial" w:cs="Arial"/>
          <w:b/>
          <w:bCs/>
          <w:sz w:val="24"/>
          <w:szCs w:val="24"/>
        </w:rPr>
      </w:pPr>
    </w:p>
    <w:p w14:paraId="777D99A6" w14:textId="1ECA9ECD" w:rsidR="001E1FDC" w:rsidRPr="009451FB" w:rsidRDefault="001E1FDC" w:rsidP="009451FB">
      <w:pPr>
        <w:spacing w:line="240" w:lineRule="auto"/>
        <w:jc w:val="both"/>
        <w:rPr>
          <w:rFonts w:ascii="Arial" w:hAnsi="Arial" w:cs="Arial"/>
          <w:b/>
          <w:bCs/>
          <w:sz w:val="24"/>
          <w:szCs w:val="24"/>
        </w:rPr>
      </w:pPr>
    </w:p>
    <w:p w14:paraId="5E3AEF78" w14:textId="1601B5FF" w:rsidR="00E550B5" w:rsidRPr="009451FB" w:rsidRDefault="00E550B5" w:rsidP="009451FB">
      <w:pPr>
        <w:spacing w:line="240" w:lineRule="auto"/>
        <w:jc w:val="both"/>
        <w:rPr>
          <w:rFonts w:ascii="Arial" w:hAnsi="Arial" w:cs="Arial"/>
          <w:b/>
          <w:bCs/>
          <w:sz w:val="24"/>
          <w:szCs w:val="24"/>
        </w:rPr>
      </w:pPr>
    </w:p>
    <w:p w14:paraId="5AAFC496" w14:textId="24159D3D" w:rsidR="00E550B5" w:rsidRPr="009451FB" w:rsidRDefault="00E550B5" w:rsidP="009451FB">
      <w:pPr>
        <w:spacing w:line="240" w:lineRule="auto"/>
        <w:jc w:val="both"/>
        <w:rPr>
          <w:rFonts w:ascii="Arial" w:hAnsi="Arial" w:cs="Arial"/>
          <w:b/>
          <w:bCs/>
          <w:sz w:val="24"/>
          <w:szCs w:val="24"/>
        </w:rPr>
      </w:pPr>
    </w:p>
    <w:p w14:paraId="6C3DF277" w14:textId="1F8BC01C" w:rsidR="00E550B5" w:rsidRPr="009451FB" w:rsidRDefault="00E550B5" w:rsidP="009451FB">
      <w:pPr>
        <w:spacing w:line="240" w:lineRule="auto"/>
        <w:jc w:val="both"/>
        <w:rPr>
          <w:rFonts w:ascii="Arial" w:hAnsi="Arial" w:cs="Arial"/>
          <w:b/>
          <w:bCs/>
          <w:sz w:val="24"/>
          <w:szCs w:val="24"/>
        </w:rPr>
      </w:pPr>
    </w:p>
    <w:p w14:paraId="4F55B5D5" w14:textId="262D870B" w:rsidR="00E550B5" w:rsidRPr="009451FB" w:rsidRDefault="00E550B5" w:rsidP="009451FB">
      <w:pPr>
        <w:spacing w:line="240" w:lineRule="auto"/>
        <w:jc w:val="both"/>
        <w:rPr>
          <w:rFonts w:ascii="Arial" w:hAnsi="Arial" w:cs="Arial"/>
          <w:b/>
          <w:bCs/>
          <w:sz w:val="24"/>
          <w:szCs w:val="24"/>
        </w:rPr>
      </w:pPr>
    </w:p>
    <w:p w14:paraId="3BA28298" w14:textId="77777777" w:rsidR="00E550B5" w:rsidRPr="009451FB" w:rsidRDefault="00E550B5" w:rsidP="009451FB">
      <w:pPr>
        <w:spacing w:line="240" w:lineRule="auto"/>
        <w:jc w:val="both"/>
        <w:rPr>
          <w:rFonts w:ascii="Arial" w:hAnsi="Arial" w:cs="Arial"/>
          <w:b/>
          <w:bCs/>
          <w:sz w:val="24"/>
          <w:szCs w:val="24"/>
        </w:rPr>
      </w:pPr>
    </w:p>
    <w:p w14:paraId="473C6A6D" w14:textId="77777777" w:rsidR="001E1FDC" w:rsidRPr="009451FB" w:rsidRDefault="001E1FDC" w:rsidP="009451FB">
      <w:pPr>
        <w:spacing w:line="240" w:lineRule="auto"/>
        <w:jc w:val="both"/>
        <w:rPr>
          <w:rFonts w:ascii="Arial" w:hAnsi="Arial" w:cs="Arial"/>
          <w:b/>
          <w:bCs/>
          <w:sz w:val="24"/>
          <w:szCs w:val="24"/>
        </w:rPr>
      </w:pPr>
    </w:p>
    <w:p w14:paraId="6740946B" w14:textId="77777777" w:rsidR="001E1FDC" w:rsidRPr="009451FB" w:rsidRDefault="001E1FDC" w:rsidP="009451FB">
      <w:pPr>
        <w:spacing w:line="240" w:lineRule="auto"/>
        <w:jc w:val="both"/>
        <w:rPr>
          <w:rFonts w:ascii="Arial" w:hAnsi="Arial" w:cs="Arial"/>
          <w:b/>
          <w:bCs/>
          <w:sz w:val="24"/>
          <w:szCs w:val="24"/>
        </w:rPr>
      </w:pPr>
    </w:p>
    <w:p w14:paraId="6DFE6E2D" w14:textId="56255ACA" w:rsidR="001E1FDC" w:rsidRPr="009451FB" w:rsidRDefault="001E1FDC" w:rsidP="009451FB">
      <w:pPr>
        <w:spacing w:line="240" w:lineRule="auto"/>
        <w:jc w:val="center"/>
        <w:rPr>
          <w:rFonts w:ascii="Arial" w:hAnsi="Arial" w:cs="Arial"/>
          <w:b/>
          <w:bCs/>
          <w:sz w:val="24"/>
          <w:szCs w:val="24"/>
          <w:u w:val="single"/>
        </w:rPr>
      </w:pPr>
      <w:r w:rsidRPr="009451FB">
        <w:rPr>
          <w:rFonts w:ascii="Arial" w:hAnsi="Arial" w:cs="Arial"/>
          <w:b/>
          <w:bCs/>
          <w:sz w:val="24"/>
          <w:szCs w:val="24"/>
          <w:u w:val="single"/>
        </w:rPr>
        <w:t>SUMARIO</w:t>
      </w:r>
    </w:p>
    <w:p w14:paraId="4E258081" w14:textId="77777777" w:rsidR="0035098A" w:rsidRPr="009451FB" w:rsidRDefault="0035098A" w:rsidP="009451FB">
      <w:pPr>
        <w:spacing w:line="240" w:lineRule="auto"/>
        <w:jc w:val="both"/>
        <w:rPr>
          <w:rFonts w:ascii="Arial" w:hAnsi="Arial" w:cs="Arial"/>
          <w:b/>
          <w:bCs/>
          <w:sz w:val="24"/>
          <w:szCs w:val="24"/>
        </w:rPr>
      </w:pPr>
    </w:p>
    <w:p w14:paraId="57C15BCF" w14:textId="77777777" w:rsidR="00AC6D7E" w:rsidRPr="009451FB" w:rsidRDefault="00AC6D7E" w:rsidP="009451FB">
      <w:pPr>
        <w:spacing w:line="240" w:lineRule="auto"/>
        <w:jc w:val="both"/>
        <w:rPr>
          <w:rFonts w:ascii="Arial" w:hAnsi="Arial" w:cs="Arial"/>
          <w:b/>
          <w:bCs/>
          <w:sz w:val="24"/>
          <w:szCs w:val="24"/>
        </w:rPr>
      </w:pPr>
      <w:proofErr w:type="gramStart"/>
      <w:r w:rsidRPr="009451FB">
        <w:rPr>
          <w:rFonts w:ascii="Arial" w:hAnsi="Arial" w:cs="Arial"/>
          <w:b/>
          <w:bCs/>
          <w:sz w:val="24"/>
          <w:szCs w:val="24"/>
        </w:rPr>
        <w:t>1.Introducción</w:t>
      </w:r>
      <w:proofErr w:type="gramEnd"/>
      <w:r w:rsidRPr="009451FB">
        <w:rPr>
          <w:rFonts w:ascii="Arial" w:hAnsi="Arial" w:cs="Arial"/>
          <w:b/>
          <w:bCs/>
          <w:sz w:val="24"/>
          <w:szCs w:val="24"/>
        </w:rPr>
        <w:t>: La brecha de género</w:t>
      </w:r>
    </w:p>
    <w:p w14:paraId="2FEBE63F" w14:textId="4ED58535" w:rsidR="00AC6D7E" w:rsidRPr="009451FB" w:rsidRDefault="00AC6D7E" w:rsidP="009451FB">
      <w:pPr>
        <w:spacing w:line="240" w:lineRule="auto"/>
        <w:jc w:val="both"/>
        <w:rPr>
          <w:rFonts w:ascii="Arial" w:hAnsi="Arial" w:cs="Arial"/>
          <w:b/>
          <w:bCs/>
          <w:sz w:val="24"/>
          <w:szCs w:val="24"/>
        </w:rPr>
      </w:pPr>
      <w:r w:rsidRPr="009451FB">
        <w:rPr>
          <w:rFonts w:ascii="Arial" w:hAnsi="Arial" w:cs="Arial"/>
          <w:b/>
          <w:bCs/>
          <w:sz w:val="24"/>
          <w:szCs w:val="24"/>
        </w:rPr>
        <w:t>1.1. Género y sexo</w:t>
      </w:r>
    </w:p>
    <w:p w14:paraId="49C4EB57" w14:textId="4E454074" w:rsidR="00AC6D7E" w:rsidRPr="009451FB" w:rsidRDefault="00AC6D7E" w:rsidP="009451FB">
      <w:pPr>
        <w:spacing w:after="0" w:line="240" w:lineRule="auto"/>
        <w:jc w:val="both"/>
        <w:rPr>
          <w:rFonts w:ascii="Arial" w:eastAsiaTheme="minorEastAsia" w:hAnsi="Arial" w:cs="Arial"/>
          <w:b/>
          <w:bCs/>
          <w:color w:val="000000" w:themeColor="text1" w:themeShade="BF"/>
          <w:sz w:val="24"/>
          <w:szCs w:val="24"/>
          <w:lang w:val="es-ES" w:eastAsia="es-AR"/>
        </w:rPr>
      </w:pPr>
      <w:r w:rsidRPr="009451FB">
        <w:rPr>
          <w:rFonts w:ascii="Arial" w:eastAsiaTheme="minorEastAsia" w:hAnsi="Arial" w:cs="Arial"/>
          <w:b/>
          <w:bCs/>
          <w:color w:val="000000" w:themeColor="text1" w:themeShade="BF"/>
          <w:sz w:val="24"/>
          <w:szCs w:val="24"/>
          <w:lang w:val="es-ES" w:eastAsia="es-AR"/>
        </w:rPr>
        <w:t>1.2 Sistema sexo- género.</w:t>
      </w:r>
    </w:p>
    <w:p w14:paraId="51C68D70" w14:textId="77777777" w:rsidR="00AC6D7E" w:rsidRPr="009451FB" w:rsidRDefault="00AC6D7E" w:rsidP="009451FB">
      <w:pPr>
        <w:spacing w:after="0" w:line="240" w:lineRule="auto"/>
        <w:jc w:val="both"/>
        <w:rPr>
          <w:rFonts w:ascii="Arial" w:eastAsia="Times New Roman" w:hAnsi="Arial" w:cs="Arial"/>
          <w:sz w:val="24"/>
          <w:szCs w:val="24"/>
          <w:lang w:eastAsia="es-AR"/>
        </w:rPr>
      </w:pPr>
    </w:p>
    <w:p w14:paraId="70640FF4" w14:textId="513F3114" w:rsidR="00AC6D7E" w:rsidRPr="009451FB" w:rsidRDefault="00AC6D7E" w:rsidP="009451FB">
      <w:pPr>
        <w:spacing w:line="240" w:lineRule="auto"/>
        <w:jc w:val="both"/>
        <w:rPr>
          <w:rFonts w:ascii="Arial" w:eastAsiaTheme="minorEastAsia" w:hAnsi="Arial" w:cs="Arial"/>
          <w:b/>
          <w:bCs/>
          <w:color w:val="000000" w:themeColor="text1" w:themeShade="BF"/>
          <w:sz w:val="24"/>
          <w:szCs w:val="24"/>
        </w:rPr>
      </w:pPr>
      <w:r w:rsidRPr="009451FB">
        <w:rPr>
          <w:rFonts w:ascii="Arial" w:eastAsiaTheme="minorEastAsia" w:hAnsi="Arial" w:cs="Arial"/>
          <w:b/>
          <w:bCs/>
          <w:color w:val="000000" w:themeColor="text1" w:themeShade="BF"/>
          <w:sz w:val="24"/>
          <w:szCs w:val="24"/>
        </w:rPr>
        <w:t>1.3 Las tres autonomías y las brechas de género.</w:t>
      </w:r>
    </w:p>
    <w:p w14:paraId="004AAC2E" w14:textId="0403F8B9" w:rsidR="00AC6D7E" w:rsidRPr="009451FB" w:rsidRDefault="00CD5A06" w:rsidP="009451FB">
      <w:pPr>
        <w:spacing w:line="240" w:lineRule="auto"/>
        <w:jc w:val="both"/>
        <w:rPr>
          <w:rFonts w:ascii="Arial" w:eastAsiaTheme="minorEastAsia" w:hAnsi="Arial" w:cs="Arial"/>
          <w:b/>
          <w:bCs/>
          <w:color w:val="000000" w:themeColor="text1" w:themeShade="BF"/>
          <w:sz w:val="24"/>
          <w:szCs w:val="24"/>
        </w:rPr>
      </w:pPr>
      <w:r w:rsidRPr="009451FB">
        <w:rPr>
          <w:rFonts w:ascii="Arial" w:eastAsiaTheme="minorEastAsia" w:hAnsi="Arial" w:cs="Arial"/>
          <w:b/>
          <w:bCs/>
          <w:color w:val="000000" w:themeColor="text1" w:themeShade="BF"/>
          <w:sz w:val="24"/>
          <w:szCs w:val="24"/>
        </w:rPr>
        <w:t>1.4 Igualdad y Equidad de Género. Brecha de Género</w:t>
      </w:r>
      <w:r w:rsidR="006113FD" w:rsidRPr="009451FB">
        <w:rPr>
          <w:rFonts w:ascii="Arial" w:eastAsiaTheme="minorEastAsia" w:hAnsi="Arial" w:cs="Arial"/>
          <w:b/>
          <w:bCs/>
          <w:color w:val="000000" w:themeColor="text1" w:themeShade="BF"/>
          <w:sz w:val="24"/>
          <w:szCs w:val="24"/>
        </w:rPr>
        <w:t>.</w:t>
      </w:r>
    </w:p>
    <w:p w14:paraId="76705B60" w14:textId="77777777" w:rsidR="00CD5A06" w:rsidRPr="009451FB" w:rsidRDefault="00CD5A06" w:rsidP="009451FB">
      <w:pPr>
        <w:spacing w:line="240" w:lineRule="auto"/>
        <w:jc w:val="both"/>
        <w:rPr>
          <w:rFonts w:ascii="Arial" w:hAnsi="Arial" w:cs="Arial"/>
          <w:b/>
          <w:bCs/>
          <w:sz w:val="24"/>
          <w:szCs w:val="24"/>
        </w:rPr>
      </w:pPr>
      <w:r w:rsidRPr="009451FB">
        <w:rPr>
          <w:rFonts w:ascii="Arial" w:hAnsi="Arial" w:cs="Arial"/>
          <w:b/>
          <w:bCs/>
          <w:sz w:val="24"/>
          <w:szCs w:val="24"/>
        </w:rPr>
        <w:t>2. La brecha de género en Argentina. Demografía. Situación laboral y previsional</w:t>
      </w:r>
    </w:p>
    <w:p w14:paraId="14FF54C8" w14:textId="296134A8" w:rsidR="00CD5A06" w:rsidRPr="009451FB" w:rsidRDefault="00CD5A06" w:rsidP="009451FB">
      <w:pPr>
        <w:spacing w:line="240" w:lineRule="auto"/>
        <w:jc w:val="both"/>
        <w:rPr>
          <w:rFonts w:ascii="Arial" w:hAnsi="Arial" w:cs="Arial"/>
          <w:b/>
          <w:bCs/>
          <w:sz w:val="24"/>
          <w:szCs w:val="24"/>
        </w:rPr>
      </w:pPr>
      <w:r w:rsidRPr="009451FB">
        <w:rPr>
          <w:rFonts w:ascii="Arial" w:hAnsi="Arial" w:cs="Arial"/>
          <w:b/>
          <w:bCs/>
          <w:sz w:val="24"/>
          <w:szCs w:val="24"/>
        </w:rPr>
        <w:t>2.1. Demografía. Datos Poblacionales de la Argentina.</w:t>
      </w:r>
    </w:p>
    <w:p w14:paraId="248AB8E2" w14:textId="24D90AF9" w:rsidR="0035098A" w:rsidRPr="009451FB" w:rsidRDefault="0035098A" w:rsidP="009451FB">
      <w:pPr>
        <w:spacing w:line="240" w:lineRule="auto"/>
        <w:jc w:val="both"/>
        <w:rPr>
          <w:rFonts w:ascii="Arial" w:hAnsi="Arial" w:cs="Arial"/>
          <w:b/>
          <w:bCs/>
          <w:sz w:val="24"/>
          <w:szCs w:val="24"/>
        </w:rPr>
      </w:pPr>
      <w:r w:rsidRPr="009451FB">
        <w:rPr>
          <w:rFonts w:ascii="Arial" w:hAnsi="Arial" w:cs="Arial"/>
          <w:b/>
          <w:bCs/>
          <w:sz w:val="24"/>
          <w:szCs w:val="24"/>
        </w:rPr>
        <w:t>2.</w:t>
      </w:r>
      <w:r w:rsidR="00983352" w:rsidRPr="009451FB">
        <w:rPr>
          <w:rFonts w:ascii="Arial" w:hAnsi="Arial" w:cs="Arial"/>
          <w:b/>
          <w:bCs/>
          <w:sz w:val="24"/>
          <w:szCs w:val="24"/>
        </w:rPr>
        <w:t>2</w:t>
      </w:r>
      <w:r w:rsidRPr="009451FB">
        <w:rPr>
          <w:rFonts w:ascii="Arial" w:hAnsi="Arial" w:cs="Arial"/>
          <w:b/>
          <w:bCs/>
          <w:sz w:val="24"/>
          <w:szCs w:val="24"/>
        </w:rPr>
        <w:t>. Mercado laboral y brecha de género.</w:t>
      </w:r>
      <w:r w:rsidR="00A16A16" w:rsidRPr="009451FB">
        <w:rPr>
          <w:rFonts w:ascii="Arial" w:hAnsi="Arial" w:cs="Arial"/>
          <w:b/>
          <w:bCs/>
          <w:sz w:val="24"/>
          <w:szCs w:val="24"/>
        </w:rPr>
        <w:t xml:space="preserve"> </w:t>
      </w:r>
      <w:r w:rsidRPr="009451FB">
        <w:rPr>
          <w:rFonts w:ascii="Arial" w:hAnsi="Arial" w:cs="Arial"/>
          <w:b/>
          <w:bCs/>
          <w:sz w:val="24"/>
          <w:szCs w:val="24"/>
        </w:rPr>
        <w:t>Cantidad de aportantes, brecha salarial, actividades feminizadas y masculinizadas, densidad de aportes.</w:t>
      </w:r>
    </w:p>
    <w:p w14:paraId="4539D825" w14:textId="26E78D73" w:rsidR="00983352" w:rsidRPr="009451FB" w:rsidRDefault="00983352" w:rsidP="009451FB">
      <w:pPr>
        <w:spacing w:line="240" w:lineRule="auto"/>
        <w:jc w:val="both"/>
        <w:rPr>
          <w:rFonts w:ascii="Arial" w:hAnsi="Arial" w:cs="Arial"/>
          <w:sz w:val="24"/>
          <w:szCs w:val="24"/>
        </w:rPr>
      </w:pPr>
      <w:r w:rsidRPr="009451FB">
        <w:rPr>
          <w:rFonts w:ascii="Arial" w:hAnsi="Arial" w:cs="Arial"/>
          <w:b/>
          <w:bCs/>
          <w:sz w:val="24"/>
          <w:szCs w:val="24"/>
        </w:rPr>
        <w:t>2.3. Escala de ingresos e ingreso medio según la Encuesta Permanente de Hogares EPH del Indec, segundo Trimestre de 2020</w:t>
      </w:r>
      <w:r w:rsidRPr="009451FB">
        <w:rPr>
          <w:rFonts w:ascii="Arial" w:hAnsi="Arial" w:cs="Arial"/>
          <w:sz w:val="24"/>
          <w:szCs w:val="24"/>
        </w:rPr>
        <w:t>.</w:t>
      </w:r>
    </w:p>
    <w:p w14:paraId="1BFF45F6" w14:textId="77777777" w:rsidR="001563F5" w:rsidRPr="009451FB" w:rsidRDefault="001563F5" w:rsidP="009451FB">
      <w:pPr>
        <w:spacing w:line="240" w:lineRule="auto"/>
        <w:jc w:val="both"/>
        <w:rPr>
          <w:rFonts w:ascii="Arial" w:hAnsi="Arial" w:cs="Arial"/>
          <w:b/>
          <w:bCs/>
          <w:sz w:val="24"/>
          <w:szCs w:val="24"/>
        </w:rPr>
      </w:pPr>
      <w:r w:rsidRPr="009451FB">
        <w:rPr>
          <w:rFonts w:ascii="Arial" w:hAnsi="Arial" w:cs="Arial"/>
          <w:b/>
          <w:bCs/>
          <w:sz w:val="24"/>
          <w:szCs w:val="24"/>
        </w:rPr>
        <w:t>2.4. Densidad de aportes.</w:t>
      </w:r>
    </w:p>
    <w:p w14:paraId="31DDCF6E" w14:textId="77777777" w:rsidR="0029582A" w:rsidRPr="009451FB" w:rsidRDefault="001563F5" w:rsidP="009451FB">
      <w:pPr>
        <w:spacing w:line="240" w:lineRule="auto"/>
        <w:jc w:val="both"/>
        <w:rPr>
          <w:rFonts w:ascii="Arial" w:hAnsi="Arial" w:cs="Arial"/>
          <w:b/>
          <w:bCs/>
          <w:sz w:val="24"/>
          <w:szCs w:val="24"/>
        </w:rPr>
      </w:pPr>
      <w:r w:rsidRPr="009451FB">
        <w:rPr>
          <w:rFonts w:ascii="Arial" w:hAnsi="Arial" w:cs="Arial"/>
          <w:b/>
          <w:bCs/>
          <w:sz w:val="24"/>
          <w:szCs w:val="24"/>
        </w:rPr>
        <w:t>2.5. Moratoria previsional para mujeres y las llamadas Jubilaciones para Amas de Casa</w:t>
      </w:r>
      <w:r w:rsidR="0029582A" w:rsidRPr="009451FB">
        <w:rPr>
          <w:rFonts w:ascii="Arial" w:hAnsi="Arial" w:cs="Arial"/>
          <w:b/>
          <w:bCs/>
          <w:sz w:val="24"/>
          <w:szCs w:val="24"/>
        </w:rPr>
        <w:t>.</w:t>
      </w:r>
    </w:p>
    <w:p w14:paraId="256B8E46" w14:textId="3B96861D" w:rsidR="0029582A" w:rsidRPr="009451FB" w:rsidRDefault="0029582A" w:rsidP="009451FB">
      <w:pPr>
        <w:spacing w:line="240" w:lineRule="auto"/>
        <w:jc w:val="both"/>
        <w:rPr>
          <w:rFonts w:ascii="Arial" w:hAnsi="Arial" w:cs="Arial"/>
          <w:sz w:val="24"/>
          <w:szCs w:val="24"/>
        </w:rPr>
      </w:pPr>
      <w:r w:rsidRPr="009451FB">
        <w:rPr>
          <w:rFonts w:ascii="Arial" w:hAnsi="Arial" w:cs="Arial"/>
          <w:b/>
          <w:bCs/>
          <w:sz w:val="24"/>
          <w:szCs w:val="24"/>
        </w:rPr>
        <w:t>2.6. Acceso a los puestos de trabajo más calificados. Respondiendo a la pregunta : Las mujeres se capacitan más o menos que los varones</w:t>
      </w:r>
      <w:proofErr w:type="gramStart"/>
      <w:r w:rsidRPr="009451FB">
        <w:rPr>
          <w:rFonts w:ascii="Arial" w:hAnsi="Arial" w:cs="Arial"/>
          <w:sz w:val="24"/>
          <w:szCs w:val="24"/>
        </w:rPr>
        <w:t>?</w:t>
      </w:r>
      <w:r w:rsidR="001D244D" w:rsidRPr="009451FB">
        <w:rPr>
          <w:rFonts w:ascii="Arial" w:hAnsi="Arial" w:cs="Arial"/>
          <w:sz w:val="24"/>
          <w:szCs w:val="24"/>
        </w:rPr>
        <w:t>.</w:t>
      </w:r>
      <w:proofErr w:type="gramEnd"/>
    </w:p>
    <w:p w14:paraId="5FAA6E27" w14:textId="3B3A2A40" w:rsidR="001D244D" w:rsidRPr="009451FB" w:rsidRDefault="001D244D" w:rsidP="009451FB">
      <w:pPr>
        <w:spacing w:line="240" w:lineRule="auto"/>
        <w:jc w:val="both"/>
        <w:rPr>
          <w:rFonts w:ascii="Arial" w:hAnsi="Arial" w:cs="Arial"/>
          <w:b/>
          <w:bCs/>
          <w:sz w:val="24"/>
          <w:szCs w:val="24"/>
        </w:rPr>
      </w:pPr>
      <w:r w:rsidRPr="009451FB">
        <w:rPr>
          <w:rFonts w:ascii="Arial" w:hAnsi="Arial" w:cs="Arial"/>
          <w:b/>
          <w:bCs/>
          <w:sz w:val="24"/>
          <w:szCs w:val="24"/>
        </w:rPr>
        <w:t>2.7. Estructura de los hogares.</w:t>
      </w:r>
    </w:p>
    <w:p w14:paraId="4173A454" w14:textId="7D50BC12" w:rsidR="00A16A16" w:rsidRPr="009451FB" w:rsidRDefault="00A16A16" w:rsidP="009451FB">
      <w:pPr>
        <w:spacing w:line="240" w:lineRule="auto"/>
        <w:jc w:val="both"/>
        <w:rPr>
          <w:rFonts w:ascii="Arial" w:hAnsi="Arial" w:cs="Arial"/>
          <w:sz w:val="24"/>
          <w:szCs w:val="24"/>
        </w:rPr>
      </w:pPr>
      <w:r w:rsidRPr="009451FB">
        <w:rPr>
          <w:rFonts w:ascii="Arial" w:hAnsi="Arial" w:cs="Arial"/>
          <w:b/>
          <w:bCs/>
          <w:sz w:val="24"/>
          <w:szCs w:val="24"/>
        </w:rPr>
        <w:t>2.8. Brecha de Género previsional y en la seguridad social. Análisis del Sector Pasivo</w:t>
      </w:r>
      <w:r w:rsidR="0021036B" w:rsidRPr="009451FB">
        <w:rPr>
          <w:rFonts w:ascii="Arial" w:hAnsi="Arial" w:cs="Arial"/>
          <w:sz w:val="24"/>
          <w:szCs w:val="24"/>
        </w:rPr>
        <w:t>.</w:t>
      </w:r>
    </w:p>
    <w:p w14:paraId="04A9F11B" w14:textId="28883B13" w:rsidR="0021036B" w:rsidRPr="009451FB" w:rsidRDefault="0021036B" w:rsidP="009451FB">
      <w:pPr>
        <w:pStyle w:val="Prrafodelista"/>
        <w:spacing w:line="240" w:lineRule="auto"/>
        <w:ind w:left="0"/>
        <w:jc w:val="both"/>
        <w:rPr>
          <w:rFonts w:ascii="Arial" w:hAnsi="Arial" w:cs="Arial"/>
          <w:b/>
          <w:bCs/>
          <w:sz w:val="24"/>
          <w:szCs w:val="24"/>
        </w:rPr>
      </w:pPr>
      <w:r w:rsidRPr="009451FB">
        <w:rPr>
          <w:rFonts w:ascii="Arial" w:hAnsi="Arial" w:cs="Arial"/>
          <w:b/>
          <w:bCs/>
          <w:sz w:val="24"/>
          <w:szCs w:val="24"/>
        </w:rPr>
        <w:t>2.9 Desempleo femenino.</w:t>
      </w:r>
    </w:p>
    <w:p w14:paraId="0D4F0B44" w14:textId="77777777" w:rsidR="00EC6C29" w:rsidRPr="009451FB" w:rsidRDefault="00EC6C29" w:rsidP="009451FB">
      <w:pPr>
        <w:pStyle w:val="Prrafodelista"/>
        <w:spacing w:line="240" w:lineRule="auto"/>
        <w:ind w:left="0"/>
        <w:jc w:val="both"/>
        <w:rPr>
          <w:rFonts w:ascii="Arial" w:hAnsi="Arial" w:cs="Arial"/>
          <w:b/>
          <w:bCs/>
          <w:sz w:val="24"/>
          <w:szCs w:val="24"/>
        </w:rPr>
      </w:pPr>
    </w:p>
    <w:p w14:paraId="4B4CB6A4" w14:textId="71A4CD82" w:rsidR="0021036B" w:rsidRPr="009451FB" w:rsidRDefault="005B7F1B" w:rsidP="009451FB">
      <w:pPr>
        <w:pStyle w:val="Prrafodelista"/>
        <w:spacing w:line="240" w:lineRule="auto"/>
        <w:ind w:left="0"/>
        <w:jc w:val="both"/>
        <w:rPr>
          <w:rFonts w:ascii="Arial" w:hAnsi="Arial" w:cs="Arial"/>
          <w:b/>
          <w:bCs/>
          <w:sz w:val="24"/>
          <w:szCs w:val="24"/>
        </w:rPr>
      </w:pPr>
      <w:r w:rsidRPr="009451FB">
        <w:rPr>
          <w:rFonts w:ascii="Arial" w:hAnsi="Arial" w:cs="Arial"/>
          <w:b/>
          <w:bCs/>
          <w:sz w:val="24"/>
          <w:szCs w:val="24"/>
        </w:rPr>
        <w:t>3</w:t>
      </w:r>
      <w:r w:rsidR="0021036B" w:rsidRPr="009451FB">
        <w:rPr>
          <w:rFonts w:ascii="Arial" w:hAnsi="Arial" w:cs="Arial"/>
          <w:b/>
          <w:bCs/>
          <w:sz w:val="24"/>
          <w:szCs w:val="24"/>
        </w:rPr>
        <w:t>. Normas y Políticas para reducir la brecha de Género</w:t>
      </w:r>
      <w:r w:rsidR="00BE7710" w:rsidRPr="009451FB">
        <w:rPr>
          <w:rFonts w:ascii="Arial" w:hAnsi="Arial" w:cs="Arial"/>
          <w:b/>
          <w:bCs/>
          <w:sz w:val="24"/>
          <w:szCs w:val="24"/>
        </w:rPr>
        <w:t>.</w:t>
      </w:r>
    </w:p>
    <w:p w14:paraId="7EDD120B" w14:textId="77777777" w:rsidR="00CE2BF1" w:rsidRPr="009451FB" w:rsidRDefault="00CE2BF1" w:rsidP="009451FB">
      <w:pPr>
        <w:spacing w:line="240" w:lineRule="auto"/>
        <w:jc w:val="both"/>
        <w:rPr>
          <w:rFonts w:ascii="Arial" w:hAnsi="Arial" w:cs="Arial"/>
          <w:b/>
          <w:bCs/>
          <w:sz w:val="24"/>
          <w:szCs w:val="24"/>
        </w:rPr>
      </w:pPr>
      <w:proofErr w:type="gramStart"/>
      <w:r w:rsidRPr="009451FB">
        <w:rPr>
          <w:rFonts w:ascii="Arial" w:hAnsi="Arial" w:cs="Arial"/>
          <w:b/>
          <w:bCs/>
          <w:sz w:val="24"/>
          <w:szCs w:val="24"/>
        </w:rPr>
        <w:t>4.La</w:t>
      </w:r>
      <w:proofErr w:type="gramEnd"/>
      <w:r w:rsidRPr="009451FB">
        <w:rPr>
          <w:rFonts w:ascii="Arial" w:hAnsi="Arial" w:cs="Arial"/>
          <w:b/>
          <w:bCs/>
          <w:sz w:val="24"/>
          <w:szCs w:val="24"/>
        </w:rPr>
        <w:t xml:space="preserve"> brecha de género y el Sistema Tributario. Las deducciones en el Impuesto a las ganancias régimen asalariado y trabajadores autónomos. La Seguridad Social los regímenes asalariados, monotributistas y autónomos.</w:t>
      </w:r>
    </w:p>
    <w:p w14:paraId="7FA1D7B4" w14:textId="4541577B" w:rsidR="00CE2BF1" w:rsidRPr="009451FB" w:rsidRDefault="00CE2BF1" w:rsidP="009451FB">
      <w:pPr>
        <w:pStyle w:val="Prrafodelista"/>
        <w:spacing w:line="240" w:lineRule="auto"/>
        <w:ind w:left="0"/>
        <w:jc w:val="both"/>
        <w:rPr>
          <w:rFonts w:ascii="Arial" w:hAnsi="Arial" w:cs="Arial"/>
          <w:b/>
          <w:bCs/>
          <w:sz w:val="24"/>
          <w:szCs w:val="24"/>
        </w:rPr>
      </w:pPr>
      <w:r w:rsidRPr="009451FB">
        <w:rPr>
          <w:rFonts w:ascii="Arial" w:hAnsi="Arial" w:cs="Arial"/>
          <w:b/>
          <w:bCs/>
          <w:sz w:val="24"/>
          <w:szCs w:val="24"/>
        </w:rPr>
        <w:t>4.1.</w:t>
      </w:r>
      <w:r w:rsidR="00EC6C29" w:rsidRPr="009451FB">
        <w:rPr>
          <w:rFonts w:ascii="Arial" w:hAnsi="Arial" w:cs="Arial"/>
          <w:b/>
          <w:bCs/>
          <w:sz w:val="24"/>
          <w:szCs w:val="24"/>
        </w:rPr>
        <w:t xml:space="preserve"> </w:t>
      </w:r>
      <w:r w:rsidRPr="009451FB">
        <w:rPr>
          <w:rFonts w:ascii="Arial" w:hAnsi="Arial" w:cs="Arial"/>
          <w:b/>
          <w:bCs/>
          <w:sz w:val="24"/>
          <w:szCs w:val="24"/>
        </w:rPr>
        <w:t>Nuestro</w:t>
      </w:r>
      <w:r w:rsidR="00EC6C29" w:rsidRPr="009451FB">
        <w:rPr>
          <w:rFonts w:ascii="Arial" w:hAnsi="Arial" w:cs="Arial"/>
          <w:b/>
          <w:bCs/>
          <w:sz w:val="24"/>
          <w:szCs w:val="24"/>
        </w:rPr>
        <w:t xml:space="preserve"> </w:t>
      </w:r>
      <w:r w:rsidRPr="009451FB">
        <w:rPr>
          <w:rFonts w:ascii="Arial" w:hAnsi="Arial" w:cs="Arial"/>
          <w:b/>
          <w:bCs/>
          <w:sz w:val="24"/>
          <w:szCs w:val="24"/>
        </w:rPr>
        <w:t>Sistema Tributario discrimina en contra de las mujeres o las invisibiliza de alguna manera</w:t>
      </w:r>
      <w:proofErr w:type="gramStart"/>
      <w:r w:rsidRPr="009451FB">
        <w:rPr>
          <w:rFonts w:ascii="Arial" w:hAnsi="Arial" w:cs="Arial"/>
          <w:b/>
          <w:bCs/>
          <w:sz w:val="24"/>
          <w:szCs w:val="24"/>
        </w:rPr>
        <w:t>?</w:t>
      </w:r>
      <w:proofErr w:type="gramEnd"/>
    </w:p>
    <w:p w14:paraId="20DD20B9" w14:textId="77777777" w:rsidR="0083589F" w:rsidRPr="009451FB" w:rsidRDefault="006D5432" w:rsidP="009451FB">
      <w:pPr>
        <w:pStyle w:val="Textoindependiente"/>
        <w:rPr>
          <w:rFonts w:ascii="Arial" w:hAnsi="Arial" w:cs="Arial"/>
          <w:b/>
          <w:sz w:val="24"/>
          <w:szCs w:val="24"/>
        </w:rPr>
      </w:pPr>
      <w:r w:rsidRPr="009451FB">
        <w:rPr>
          <w:rFonts w:ascii="Arial" w:hAnsi="Arial" w:cs="Arial"/>
          <w:b/>
          <w:sz w:val="24"/>
          <w:szCs w:val="24"/>
        </w:rPr>
        <w:lastRenderedPageBreak/>
        <w:t>4.2 Los Impuestos como herramienta para la equidad de género</w:t>
      </w:r>
      <w:r w:rsidR="0083589F" w:rsidRPr="009451FB">
        <w:rPr>
          <w:rFonts w:ascii="Arial" w:hAnsi="Arial" w:cs="Arial"/>
          <w:b/>
          <w:sz w:val="24"/>
          <w:szCs w:val="24"/>
        </w:rPr>
        <w:t>.</w:t>
      </w:r>
    </w:p>
    <w:p w14:paraId="1714DCCD" w14:textId="77777777" w:rsidR="002A7418" w:rsidRPr="009451FB" w:rsidRDefault="0083589F" w:rsidP="009451FB">
      <w:pPr>
        <w:pStyle w:val="Textoindependiente"/>
        <w:rPr>
          <w:rFonts w:ascii="Arial" w:hAnsi="Arial" w:cs="Arial"/>
          <w:b/>
          <w:bCs/>
          <w:sz w:val="24"/>
          <w:szCs w:val="24"/>
        </w:rPr>
      </w:pPr>
      <w:r w:rsidRPr="009451FB">
        <w:rPr>
          <w:rFonts w:ascii="Arial" w:hAnsi="Arial" w:cs="Arial"/>
          <w:b/>
          <w:bCs/>
          <w:sz w:val="24"/>
          <w:szCs w:val="24"/>
        </w:rPr>
        <w:t xml:space="preserve">5. La economía del cuidado. El trabajo doméstico y de cuidado no remunerado. </w:t>
      </w:r>
    </w:p>
    <w:p w14:paraId="17B99F07" w14:textId="77777777" w:rsidR="002A7418" w:rsidRPr="009451FB" w:rsidRDefault="002A7418" w:rsidP="009451FB">
      <w:pPr>
        <w:pStyle w:val="Textoindependiente"/>
        <w:rPr>
          <w:rFonts w:ascii="Arial" w:hAnsi="Arial" w:cs="Arial"/>
          <w:b/>
          <w:bCs/>
          <w:sz w:val="24"/>
          <w:szCs w:val="24"/>
        </w:rPr>
      </w:pPr>
    </w:p>
    <w:p w14:paraId="4EB226F2" w14:textId="4BAF2EA9" w:rsidR="006D5432" w:rsidRPr="009451FB" w:rsidRDefault="002A7418" w:rsidP="009451FB">
      <w:pPr>
        <w:pStyle w:val="Textoindependiente"/>
        <w:rPr>
          <w:rFonts w:ascii="Arial" w:hAnsi="Arial" w:cs="Arial"/>
          <w:b/>
          <w:sz w:val="24"/>
          <w:szCs w:val="24"/>
        </w:rPr>
      </w:pPr>
      <w:r w:rsidRPr="009451FB">
        <w:rPr>
          <w:rFonts w:ascii="Arial" w:hAnsi="Arial" w:cs="Arial"/>
          <w:b/>
          <w:bCs/>
          <w:sz w:val="24"/>
          <w:szCs w:val="24"/>
        </w:rPr>
        <w:t xml:space="preserve">5.1 </w:t>
      </w:r>
      <w:r w:rsidR="0083589F" w:rsidRPr="009451FB">
        <w:rPr>
          <w:rFonts w:ascii="Arial" w:hAnsi="Arial" w:cs="Arial"/>
          <w:b/>
          <w:bCs/>
          <w:sz w:val="24"/>
          <w:szCs w:val="24"/>
        </w:rPr>
        <w:t>La crisis del cuidado</w:t>
      </w:r>
    </w:p>
    <w:p w14:paraId="0CD51FE7" w14:textId="77777777" w:rsidR="006D5432" w:rsidRPr="009451FB" w:rsidRDefault="006D5432" w:rsidP="009451FB">
      <w:pPr>
        <w:pStyle w:val="Prrafodelista"/>
        <w:spacing w:line="240" w:lineRule="auto"/>
        <w:ind w:left="0"/>
        <w:jc w:val="both"/>
        <w:rPr>
          <w:rFonts w:ascii="Arial" w:hAnsi="Arial" w:cs="Arial"/>
          <w:b/>
          <w:bCs/>
          <w:sz w:val="24"/>
          <w:szCs w:val="24"/>
          <w:lang w:val="es-ES"/>
        </w:rPr>
      </w:pPr>
    </w:p>
    <w:p w14:paraId="0C6343B6" w14:textId="57294B32" w:rsidR="00BE7710" w:rsidRPr="009451FB" w:rsidRDefault="00BE7710" w:rsidP="009451FB">
      <w:pPr>
        <w:pStyle w:val="Prrafodelista"/>
        <w:spacing w:line="240" w:lineRule="auto"/>
        <w:ind w:left="0"/>
        <w:jc w:val="both"/>
        <w:rPr>
          <w:rFonts w:ascii="Arial" w:hAnsi="Arial" w:cs="Arial"/>
          <w:b/>
          <w:bCs/>
          <w:sz w:val="24"/>
          <w:szCs w:val="24"/>
        </w:rPr>
      </w:pPr>
    </w:p>
    <w:p w14:paraId="6636B233" w14:textId="77777777" w:rsidR="00BE7710" w:rsidRPr="009451FB" w:rsidRDefault="00BE7710" w:rsidP="009451FB">
      <w:pPr>
        <w:pStyle w:val="Prrafodelista"/>
        <w:spacing w:line="240" w:lineRule="auto"/>
        <w:ind w:left="0"/>
        <w:jc w:val="both"/>
        <w:rPr>
          <w:rFonts w:ascii="Arial" w:hAnsi="Arial" w:cs="Arial"/>
          <w:b/>
          <w:bCs/>
          <w:sz w:val="24"/>
          <w:szCs w:val="24"/>
        </w:rPr>
      </w:pPr>
    </w:p>
    <w:p w14:paraId="793B9E4C" w14:textId="77777777" w:rsidR="00497859" w:rsidRPr="009451FB" w:rsidRDefault="00497859" w:rsidP="009451FB">
      <w:pPr>
        <w:spacing w:line="240" w:lineRule="auto"/>
        <w:jc w:val="both"/>
        <w:rPr>
          <w:rFonts w:ascii="Arial" w:hAnsi="Arial" w:cs="Arial"/>
          <w:b/>
          <w:bCs/>
          <w:sz w:val="24"/>
          <w:szCs w:val="24"/>
        </w:rPr>
      </w:pPr>
    </w:p>
    <w:p w14:paraId="0A5C0CEE" w14:textId="77777777" w:rsidR="00E550B5" w:rsidRPr="009451FB" w:rsidRDefault="00E550B5" w:rsidP="009451FB">
      <w:pPr>
        <w:spacing w:line="240" w:lineRule="auto"/>
        <w:jc w:val="both"/>
        <w:rPr>
          <w:rFonts w:ascii="Arial" w:hAnsi="Arial" w:cs="Arial"/>
          <w:b/>
          <w:bCs/>
          <w:sz w:val="24"/>
          <w:szCs w:val="24"/>
          <w:u w:val="single"/>
        </w:rPr>
      </w:pPr>
    </w:p>
    <w:p w14:paraId="328736D2" w14:textId="77777777" w:rsidR="00E550B5" w:rsidRPr="009451FB" w:rsidRDefault="00E550B5" w:rsidP="009451FB">
      <w:pPr>
        <w:spacing w:line="240" w:lineRule="auto"/>
        <w:jc w:val="both"/>
        <w:rPr>
          <w:rFonts w:ascii="Arial" w:hAnsi="Arial" w:cs="Arial"/>
          <w:b/>
          <w:bCs/>
          <w:sz w:val="24"/>
          <w:szCs w:val="24"/>
          <w:u w:val="single"/>
        </w:rPr>
      </w:pPr>
    </w:p>
    <w:p w14:paraId="510BA324" w14:textId="0868AB7B" w:rsidR="00EB1F45" w:rsidRPr="009451FB" w:rsidRDefault="00B6379A" w:rsidP="009451FB">
      <w:pPr>
        <w:spacing w:line="240" w:lineRule="auto"/>
        <w:jc w:val="both"/>
        <w:rPr>
          <w:rFonts w:ascii="Arial" w:hAnsi="Arial" w:cs="Arial"/>
          <w:b/>
          <w:bCs/>
          <w:sz w:val="24"/>
          <w:szCs w:val="24"/>
          <w:u w:val="single"/>
        </w:rPr>
      </w:pPr>
      <w:proofErr w:type="gramStart"/>
      <w:r w:rsidRPr="009451FB">
        <w:rPr>
          <w:rFonts w:ascii="Arial" w:hAnsi="Arial" w:cs="Arial"/>
          <w:b/>
          <w:bCs/>
          <w:sz w:val="24"/>
          <w:szCs w:val="24"/>
          <w:u w:val="single"/>
        </w:rPr>
        <w:t>1.</w:t>
      </w:r>
      <w:r w:rsidR="00EB1F45" w:rsidRPr="009451FB">
        <w:rPr>
          <w:rFonts w:ascii="Arial" w:hAnsi="Arial" w:cs="Arial"/>
          <w:b/>
          <w:bCs/>
          <w:sz w:val="24"/>
          <w:szCs w:val="24"/>
          <w:u w:val="single"/>
        </w:rPr>
        <w:t>Introducción</w:t>
      </w:r>
      <w:proofErr w:type="gramEnd"/>
      <w:r w:rsidR="00EB1F45" w:rsidRPr="009451FB">
        <w:rPr>
          <w:rFonts w:ascii="Arial" w:hAnsi="Arial" w:cs="Arial"/>
          <w:b/>
          <w:bCs/>
          <w:sz w:val="24"/>
          <w:szCs w:val="24"/>
          <w:u w:val="single"/>
        </w:rPr>
        <w:t>: La brecha de género</w:t>
      </w:r>
      <w:r w:rsidR="008B668A" w:rsidRPr="009451FB">
        <w:rPr>
          <w:rFonts w:ascii="Arial" w:hAnsi="Arial" w:cs="Arial"/>
          <w:b/>
          <w:bCs/>
          <w:sz w:val="24"/>
          <w:szCs w:val="24"/>
          <w:u w:val="single"/>
        </w:rPr>
        <w:t xml:space="preserve"> </w:t>
      </w:r>
      <w:r w:rsidR="008B668A" w:rsidRPr="00DC34F9">
        <w:rPr>
          <w:rFonts w:ascii="Arial" w:hAnsi="Arial" w:cs="Arial"/>
          <w:b/>
          <w:bCs/>
          <w:sz w:val="20"/>
          <w:szCs w:val="20"/>
          <w:u w:val="single"/>
        </w:rPr>
        <w:t>(1)</w:t>
      </w:r>
    </w:p>
    <w:p w14:paraId="60C08197" w14:textId="4EDA19D4" w:rsidR="00EB1F45" w:rsidRPr="009451FB" w:rsidRDefault="00B6379A" w:rsidP="009451FB">
      <w:pPr>
        <w:spacing w:line="240" w:lineRule="auto"/>
        <w:jc w:val="both"/>
        <w:rPr>
          <w:rFonts w:ascii="Arial" w:hAnsi="Arial" w:cs="Arial"/>
          <w:b/>
          <w:bCs/>
          <w:sz w:val="24"/>
          <w:szCs w:val="24"/>
        </w:rPr>
      </w:pPr>
      <w:r w:rsidRPr="009451FB">
        <w:rPr>
          <w:rFonts w:ascii="Arial" w:hAnsi="Arial" w:cs="Arial"/>
          <w:b/>
          <w:bCs/>
          <w:sz w:val="24"/>
          <w:szCs w:val="24"/>
        </w:rPr>
        <w:t xml:space="preserve">1.1. </w:t>
      </w:r>
      <w:r w:rsidR="00EB1F45" w:rsidRPr="009451FB">
        <w:rPr>
          <w:rFonts w:ascii="Arial" w:hAnsi="Arial" w:cs="Arial"/>
          <w:b/>
          <w:bCs/>
          <w:sz w:val="24"/>
          <w:szCs w:val="24"/>
        </w:rPr>
        <w:t>Género y sexo</w:t>
      </w:r>
    </w:p>
    <w:p w14:paraId="54387238" w14:textId="77777777" w:rsidR="00EB1F45" w:rsidRPr="009451FB" w:rsidRDefault="00EB1F45" w:rsidP="009451FB">
      <w:pPr>
        <w:spacing w:line="240" w:lineRule="auto"/>
        <w:jc w:val="both"/>
        <w:rPr>
          <w:rFonts w:ascii="Arial" w:hAnsi="Arial" w:cs="Arial"/>
          <w:sz w:val="24"/>
          <w:szCs w:val="24"/>
        </w:rPr>
      </w:pPr>
      <w:r w:rsidRPr="009451FB">
        <w:rPr>
          <w:rFonts w:ascii="Arial" w:hAnsi="Arial" w:cs="Arial"/>
          <w:sz w:val="24"/>
          <w:szCs w:val="24"/>
        </w:rPr>
        <w:t xml:space="preserve">Entendemos como género al proceso mediante el cual individuos biológicamente distintos se convierten en hombres y mujeres, mediante la adquisición de atributos que la sociedad define como masculinidad y femineidad. </w:t>
      </w:r>
    </w:p>
    <w:p w14:paraId="1482AB8F" w14:textId="77777777" w:rsidR="00EB1F45" w:rsidRPr="009451FB" w:rsidRDefault="00EB1F45" w:rsidP="009451FB">
      <w:pPr>
        <w:spacing w:line="240" w:lineRule="auto"/>
        <w:jc w:val="both"/>
        <w:rPr>
          <w:rFonts w:ascii="Arial" w:hAnsi="Arial" w:cs="Arial"/>
          <w:sz w:val="24"/>
          <w:szCs w:val="24"/>
        </w:rPr>
      </w:pPr>
      <w:r w:rsidRPr="009451FB">
        <w:rPr>
          <w:rFonts w:ascii="Arial" w:hAnsi="Arial" w:cs="Arial"/>
          <w:sz w:val="24"/>
          <w:szCs w:val="24"/>
        </w:rPr>
        <w:t>Mientras el sexo es un atributo biológico, el género es un concepto relacional que refiere a las relaciones sociales entre los géneros, las relaciones de poder y la construcción simbólica de la sexualidad.</w:t>
      </w:r>
    </w:p>
    <w:p w14:paraId="73FC3EEC" w14:textId="433E9E92" w:rsidR="00EB1F45" w:rsidRPr="009451FB" w:rsidRDefault="00EB1F45" w:rsidP="009451FB">
      <w:pPr>
        <w:spacing w:line="240" w:lineRule="auto"/>
        <w:jc w:val="both"/>
        <w:rPr>
          <w:rFonts w:ascii="Arial" w:hAnsi="Arial" w:cs="Arial"/>
          <w:sz w:val="24"/>
          <w:szCs w:val="24"/>
        </w:rPr>
      </w:pPr>
      <w:r w:rsidRPr="009451FB">
        <w:rPr>
          <w:rFonts w:ascii="Arial" w:hAnsi="Arial" w:cs="Arial"/>
          <w:sz w:val="24"/>
          <w:szCs w:val="24"/>
        </w:rPr>
        <w:t>El Género se distingue del determinismo biológico, de haber nacido con el sexo biológico de varón o mujer, discute que la biología sea destino. Nos marca las relaciones sociales de poder en base a la diferencia sexual que devienen en desigualdades y la desnaturalización de la desigualdad o subordinación de las mujeres.</w:t>
      </w:r>
    </w:p>
    <w:p w14:paraId="374655CB" w14:textId="33D5A9A7" w:rsidR="00EB1F45" w:rsidRPr="009451FB" w:rsidRDefault="00B6379A"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b/>
          <w:bCs/>
          <w:color w:val="000000" w:themeColor="text1" w:themeShade="BF"/>
          <w:sz w:val="24"/>
          <w:szCs w:val="24"/>
          <w:lang w:val="es-ES" w:eastAsia="es-AR"/>
        </w:rPr>
        <w:t xml:space="preserve">1.2 </w:t>
      </w:r>
      <w:r w:rsidR="00EB1F45" w:rsidRPr="009451FB">
        <w:rPr>
          <w:rFonts w:ascii="Arial" w:eastAsiaTheme="minorEastAsia" w:hAnsi="Arial" w:cs="Arial"/>
          <w:b/>
          <w:bCs/>
          <w:color w:val="000000" w:themeColor="text1" w:themeShade="BF"/>
          <w:sz w:val="24"/>
          <w:szCs w:val="24"/>
          <w:lang w:val="es-ES" w:eastAsia="es-AR"/>
        </w:rPr>
        <w:t>Sistema sexo- género:</w:t>
      </w:r>
    </w:p>
    <w:p w14:paraId="2056216B"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sz w:val="24"/>
          <w:szCs w:val="24"/>
          <w:lang w:val="es-ES" w:eastAsia="es-AR"/>
        </w:rPr>
        <w:t xml:space="preserve">Conjunto de prácticas, símbolos, representaciones, normas y valores sociales que las sociedades elaboran a partir de la diferencia sexual </w:t>
      </w:r>
      <w:proofErr w:type="spellStart"/>
      <w:r w:rsidRPr="009451FB">
        <w:rPr>
          <w:rFonts w:ascii="Arial" w:eastAsiaTheme="minorEastAsia" w:hAnsi="Arial" w:cs="Arial"/>
          <w:sz w:val="24"/>
          <w:szCs w:val="24"/>
          <w:lang w:val="es-ES" w:eastAsia="es-AR"/>
        </w:rPr>
        <w:t>anátomo</w:t>
      </w:r>
      <w:proofErr w:type="spellEnd"/>
      <w:r w:rsidRPr="009451FB">
        <w:rPr>
          <w:rFonts w:ascii="Arial" w:eastAsiaTheme="minorEastAsia" w:hAnsi="Arial" w:cs="Arial"/>
          <w:sz w:val="24"/>
          <w:szCs w:val="24"/>
          <w:lang w:val="es-ES" w:eastAsia="es-AR"/>
        </w:rPr>
        <w:t>-fisiológica y que regulan las relaciones entre las personas en tanto sexuadas (</w:t>
      </w:r>
      <w:proofErr w:type="spellStart"/>
      <w:r w:rsidRPr="009451FB">
        <w:rPr>
          <w:rFonts w:ascii="Arial" w:eastAsiaTheme="minorEastAsia" w:hAnsi="Arial" w:cs="Arial"/>
          <w:sz w:val="24"/>
          <w:szCs w:val="24"/>
          <w:lang w:val="es-ES" w:eastAsia="es-AR"/>
        </w:rPr>
        <w:t>Gayle</w:t>
      </w:r>
      <w:proofErr w:type="spellEnd"/>
      <w:r w:rsidRPr="009451FB">
        <w:rPr>
          <w:rFonts w:ascii="Arial" w:eastAsiaTheme="minorEastAsia" w:hAnsi="Arial" w:cs="Arial"/>
          <w:sz w:val="24"/>
          <w:szCs w:val="24"/>
          <w:lang w:val="es-ES" w:eastAsia="es-AR"/>
        </w:rPr>
        <w:t xml:space="preserve"> </w:t>
      </w:r>
      <w:proofErr w:type="spellStart"/>
      <w:r w:rsidRPr="009451FB">
        <w:rPr>
          <w:rFonts w:ascii="Arial" w:eastAsiaTheme="minorEastAsia" w:hAnsi="Arial" w:cs="Arial"/>
          <w:sz w:val="24"/>
          <w:szCs w:val="24"/>
          <w:lang w:val="es-ES" w:eastAsia="es-AR"/>
        </w:rPr>
        <w:t>Rubin</w:t>
      </w:r>
      <w:proofErr w:type="spellEnd"/>
      <w:r w:rsidRPr="009451FB">
        <w:rPr>
          <w:rFonts w:ascii="Arial" w:eastAsiaTheme="minorEastAsia" w:hAnsi="Arial" w:cs="Arial"/>
          <w:sz w:val="24"/>
          <w:szCs w:val="24"/>
          <w:lang w:val="es-ES" w:eastAsia="es-AR"/>
        </w:rPr>
        <w:t>)</w:t>
      </w:r>
    </w:p>
    <w:p w14:paraId="234CC317"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b/>
          <w:bCs/>
          <w:color w:val="000000" w:themeColor="text1" w:themeShade="BF"/>
          <w:sz w:val="24"/>
          <w:szCs w:val="24"/>
          <w:lang w:val="es-ES" w:eastAsia="es-AR"/>
        </w:rPr>
        <w:t>Matriz heteronormativa</w:t>
      </w:r>
    </w:p>
    <w:p w14:paraId="52E50C31" w14:textId="77777777" w:rsidR="00EB1F45" w:rsidRPr="009451FB" w:rsidRDefault="00EB1F45" w:rsidP="009451FB">
      <w:pPr>
        <w:numPr>
          <w:ilvl w:val="0"/>
          <w:numId w:val="14"/>
        </w:numPr>
        <w:spacing w:after="0" w:line="240" w:lineRule="auto"/>
        <w:contextualSpacing/>
        <w:jc w:val="both"/>
        <w:rPr>
          <w:rFonts w:ascii="Arial" w:eastAsia="Times New Roman" w:hAnsi="Arial" w:cs="Arial"/>
          <w:sz w:val="24"/>
          <w:szCs w:val="24"/>
          <w:lang w:eastAsia="es-AR"/>
        </w:rPr>
      </w:pPr>
      <w:r w:rsidRPr="009451FB">
        <w:rPr>
          <w:rFonts w:ascii="Arial" w:eastAsiaTheme="minorEastAsia" w:hAnsi="Arial" w:cs="Arial"/>
          <w:sz w:val="24"/>
          <w:szCs w:val="24"/>
          <w:lang w:val="fr-FR" w:eastAsia="es-AR"/>
        </w:rPr>
        <w:t xml:space="preserve">  </w:t>
      </w:r>
      <w:proofErr w:type="spellStart"/>
      <w:r w:rsidRPr="009451FB">
        <w:rPr>
          <w:rFonts w:ascii="Arial" w:eastAsiaTheme="minorEastAsia" w:hAnsi="Arial" w:cs="Arial"/>
          <w:sz w:val="24"/>
          <w:szCs w:val="24"/>
          <w:lang w:val="fr-FR" w:eastAsia="es-AR"/>
        </w:rPr>
        <w:t>Binarismo</w:t>
      </w:r>
      <w:proofErr w:type="spellEnd"/>
      <w:r w:rsidRPr="009451FB">
        <w:rPr>
          <w:rFonts w:ascii="Arial" w:eastAsiaTheme="minorEastAsia" w:hAnsi="Arial" w:cs="Arial"/>
          <w:sz w:val="24"/>
          <w:szCs w:val="24"/>
          <w:lang w:val="fr-FR" w:eastAsia="es-AR"/>
        </w:rPr>
        <w:t xml:space="preserve"> </w:t>
      </w:r>
      <w:proofErr w:type="spellStart"/>
      <w:r w:rsidRPr="009451FB">
        <w:rPr>
          <w:rFonts w:ascii="Arial" w:eastAsiaTheme="minorEastAsia" w:hAnsi="Arial" w:cs="Arial"/>
          <w:b/>
          <w:bCs/>
          <w:sz w:val="24"/>
          <w:szCs w:val="24"/>
          <w:lang w:val="fr-FR" w:eastAsia="es-AR"/>
        </w:rPr>
        <w:t>ideal</w:t>
      </w:r>
      <w:proofErr w:type="spellEnd"/>
      <w:r w:rsidRPr="009451FB">
        <w:rPr>
          <w:rFonts w:ascii="Arial" w:eastAsiaTheme="minorEastAsia" w:hAnsi="Arial" w:cs="Arial"/>
          <w:b/>
          <w:bCs/>
          <w:sz w:val="24"/>
          <w:szCs w:val="24"/>
          <w:lang w:val="fr-FR" w:eastAsia="es-AR"/>
        </w:rPr>
        <w:t xml:space="preserve"> </w:t>
      </w:r>
      <w:r w:rsidRPr="009451FB">
        <w:rPr>
          <w:rFonts w:ascii="Arial" w:eastAsiaTheme="minorEastAsia" w:hAnsi="Arial" w:cs="Arial"/>
          <w:sz w:val="24"/>
          <w:szCs w:val="24"/>
          <w:lang w:val="fr-FR" w:eastAsia="es-AR"/>
        </w:rPr>
        <w:t>(</w:t>
      </w:r>
      <w:proofErr w:type="spellStart"/>
      <w:r w:rsidRPr="009451FB">
        <w:rPr>
          <w:rFonts w:ascii="Arial" w:eastAsiaTheme="minorEastAsia" w:hAnsi="Arial" w:cs="Arial"/>
          <w:sz w:val="24"/>
          <w:szCs w:val="24"/>
          <w:lang w:val="fr-FR" w:eastAsia="es-AR"/>
        </w:rPr>
        <w:t>varón</w:t>
      </w:r>
      <w:proofErr w:type="spellEnd"/>
      <w:r w:rsidRPr="009451FB">
        <w:rPr>
          <w:rFonts w:ascii="Arial" w:eastAsiaTheme="minorEastAsia" w:hAnsi="Arial" w:cs="Arial"/>
          <w:sz w:val="24"/>
          <w:szCs w:val="24"/>
          <w:lang w:val="fr-FR" w:eastAsia="es-AR"/>
        </w:rPr>
        <w:t>/</w:t>
      </w:r>
      <w:proofErr w:type="spellStart"/>
      <w:r w:rsidRPr="009451FB">
        <w:rPr>
          <w:rFonts w:ascii="Arial" w:eastAsiaTheme="minorEastAsia" w:hAnsi="Arial" w:cs="Arial"/>
          <w:sz w:val="24"/>
          <w:szCs w:val="24"/>
          <w:lang w:val="fr-FR" w:eastAsia="es-AR"/>
        </w:rPr>
        <w:t>mujer</w:t>
      </w:r>
      <w:proofErr w:type="spellEnd"/>
      <w:r w:rsidRPr="009451FB">
        <w:rPr>
          <w:rFonts w:ascii="Arial" w:eastAsiaTheme="minorEastAsia" w:hAnsi="Arial" w:cs="Arial"/>
          <w:sz w:val="24"/>
          <w:szCs w:val="24"/>
          <w:lang w:val="fr-FR" w:eastAsia="es-AR"/>
        </w:rPr>
        <w:t xml:space="preserve">)- </w:t>
      </w:r>
      <w:r w:rsidRPr="009451FB">
        <w:rPr>
          <w:rFonts w:ascii="Arial" w:eastAsiaTheme="minorEastAsia" w:hAnsi="Arial" w:cs="Arial"/>
          <w:sz w:val="24"/>
          <w:szCs w:val="24"/>
          <w:lang w:eastAsia="es-AR"/>
        </w:rPr>
        <w:t xml:space="preserve">único modelo de vínculos </w:t>
      </w:r>
      <w:r w:rsidRPr="009451FB">
        <w:rPr>
          <w:rFonts w:ascii="Arial" w:eastAsiaTheme="minorEastAsia" w:hAnsi="Arial" w:cs="Arial"/>
          <w:sz w:val="24"/>
          <w:szCs w:val="24"/>
          <w:lang w:eastAsia="es-AR"/>
        </w:rPr>
        <w:tab/>
        <w:t xml:space="preserve">afectivos y sexuales sobre el cual se asientan las </w:t>
      </w:r>
      <w:r w:rsidRPr="009451FB">
        <w:rPr>
          <w:rFonts w:ascii="Arial" w:eastAsiaTheme="minorEastAsia" w:hAnsi="Arial" w:cs="Arial"/>
          <w:sz w:val="24"/>
          <w:szCs w:val="24"/>
          <w:lang w:eastAsia="es-AR"/>
        </w:rPr>
        <w:tab/>
        <w:t xml:space="preserve">relaciones íntimas, familiares y sociales. </w:t>
      </w:r>
    </w:p>
    <w:p w14:paraId="38118E8A" w14:textId="77777777" w:rsidR="00EB1F45" w:rsidRPr="009451FB" w:rsidRDefault="00EB1F45" w:rsidP="009451FB">
      <w:pPr>
        <w:numPr>
          <w:ilvl w:val="0"/>
          <w:numId w:val="14"/>
        </w:numPr>
        <w:spacing w:after="0" w:line="240" w:lineRule="auto"/>
        <w:ind w:left="1800"/>
        <w:contextualSpacing/>
        <w:jc w:val="both"/>
        <w:rPr>
          <w:rFonts w:ascii="Arial" w:eastAsia="Times New Roman" w:hAnsi="Arial" w:cs="Arial"/>
          <w:sz w:val="24"/>
          <w:szCs w:val="24"/>
          <w:lang w:eastAsia="es-AR"/>
        </w:rPr>
      </w:pPr>
      <w:proofErr w:type="spellStart"/>
      <w:r w:rsidRPr="009451FB">
        <w:rPr>
          <w:rFonts w:ascii="Arial" w:eastAsiaTheme="minorEastAsia" w:hAnsi="Arial" w:cs="Arial"/>
          <w:b/>
          <w:bCs/>
          <w:sz w:val="24"/>
          <w:szCs w:val="24"/>
          <w:lang w:val="fr-FR" w:eastAsia="es-AR"/>
        </w:rPr>
        <w:t>Masculinidad</w:t>
      </w:r>
      <w:proofErr w:type="spellEnd"/>
      <w:r w:rsidRPr="009451FB">
        <w:rPr>
          <w:rFonts w:ascii="Arial" w:eastAsiaTheme="minorEastAsia" w:hAnsi="Arial" w:cs="Arial"/>
          <w:sz w:val="24"/>
          <w:szCs w:val="24"/>
          <w:lang w:val="fr-FR" w:eastAsia="es-AR"/>
        </w:rPr>
        <w:t xml:space="preserve"> y </w:t>
      </w:r>
      <w:proofErr w:type="spellStart"/>
      <w:r w:rsidRPr="009451FB">
        <w:rPr>
          <w:rFonts w:ascii="Arial" w:eastAsiaTheme="minorEastAsia" w:hAnsi="Arial" w:cs="Arial"/>
          <w:b/>
          <w:bCs/>
          <w:sz w:val="24"/>
          <w:szCs w:val="24"/>
          <w:lang w:val="fr-FR" w:eastAsia="es-AR"/>
        </w:rPr>
        <w:t>femineidad</w:t>
      </w:r>
      <w:proofErr w:type="spellEnd"/>
      <w:r w:rsidRPr="009451FB">
        <w:rPr>
          <w:rFonts w:ascii="Arial" w:eastAsiaTheme="minorEastAsia" w:hAnsi="Arial" w:cs="Arial"/>
          <w:sz w:val="24"/>
          <w:szCs w:val="24"/>
          <w:lang w:val="fr-FR" w:eastAsia="es-AR"/>
        </w:rPr>
        <w:t xml:space="preserve"> </w:t>
      </w:r>
      <w:proofErr w:type="spellStart"/>
      <w:r w:rsidRPr="009451FB">
        <w:rPr>
          <w:rFonts w:ascii="Arial" w:eastAsiaTheme="minorEastAsia" w:hAnsi="Arial" w:cs="Arial"/>
          <w:sz w:val="24"/>
          <w:szCs w:val="24"/>
          <w:lang w:val="fr-FR" w:eastAsia="es-AR"/>
        </w:rPr>
        <w:t>adecuados</w:t>
      </w:r>
      <w:proofErr w:type="spellEnd"/>
      <w:r w:rsidRPr="009451FB">
        <w:rPr>
          <w:rFonts w:ascii="Arial" w:eastAsiaTheme="minorEastAsia" w:hAnsi="Arial" w:cs="Arial"/>
          <w:sz w:val="24"/>
          <w:szCs w:val="24"/>
          <w:lang w:val="fr-FR" w:eastAsia="es-AR"/>
        </w:rPr>
        <w:t xml:space="preserve">/ </w:t>
      </w:r>
      <w:proofErr w:type="spellStart"/>
      <w:r w:rsidRPr="009451FB">
        <w:rPr>
          <w:rFonts w:ascii="Arial" w:eastAsiaTheme="minorEastAsia" w:hAnsi="Arial" w:cs="Arial"/>
          <w:sz w:val="24"/>
          <w:szCs w:val="24"/>
          <w:lang w:val="fr-FR" w:eastAsia="es-AR"/>
        </w:rPr>
        <w:t>inadecuados</w:t>
      </w:r>
      <w:proofErr w:type="spellEnd"/>
      <w:r w:rsidRPr="009451FB">
        <w:rPr>
          <w:rFonts w:ascii="Arial" w:eastAsiaTheme="minorEastAsia" w:hAnsi="Arial" w:cs="Arial"/>
          <w:sz w:val="24"/>
          <w:szCs w:val="24"/>
          <w:lang w:val="fr-FR" w:eastAsia="es-AR"/>
        </w:rPr>
        <w:t>.</w:t>
      </w:r>
    </w:p>
    <w:p w14:paraId="14961CB3" w14:textId="77777777" w:rsidR="00EB1F45" w:rsidRPr="009451FB" w:rsidRDefault="00EB1F45" w:rsidP="009451FB">
      <w:pPr>
        <w:numPr>
          <w:ilvl w:val="0"/>
          <w:numId w:val="14"/>
        </w:numPr>
        <w:spacing w:after="0" w:line="240" w:lineRule="auto"/>
        <w:ind w:left="1800"/>
        <w:contextualSpacing/>
        <w:jc w:val="both"/>
        <w:rPr>
          <w:rFonts w:ascii="Arial" w:eastAsia="Times New Roman" w:hAnsi="Arial" w:cs="Arial"/>
          <w:sz w:val="24"/>
          <w:szCs w:val="24"/>
          <w:lang w:eastAsia="es-AR"/>
        </w:rPr>
      </w:pPr>
      <w:proofErr w:type="spellStart"/>
      <w:r w:rsidRPr="009451FB">
        <w:rPr>
          <w:rFonts w:ascii="Arial" w:eastAsiaTheme="minorEastAsia" w:hAnsi="Arial" w:cs="Arial"/>
          <w:sz w:val="24"/>
          <w:szCs w:val="24"/>
          <w:lang w:val="fr-FR" w:eastAsia="es-AR"/>
        </w:rPr>
        <w:t>Mandatos</w:t>
      </w:r>
      <w:proofErr w:type="spellEnd"/>
      <w:r w:rsidRPr="009451FB">
        <w:rPr>
          <w:rFonts w:ascii="Arial" w:eastAsiaTheme="minorEastAsia" w:hAnsi="Arial" w:cs="Arial"/>
          <w:sz w:val="24"/>
          <w:szCs w:val="24"/>
          <w:lang w:val="fr-FR" w:eastAsia="es-AR"/>
        </w:rPr>
        <w:t xml:space="preserve"> y valencias </w:t>
      </w:r>
      <w:proofErr w:type="spellStart"/>
      <w:r w:rsidRPr="009451FB">
        <w:rPr>
          <w:rFonts w:ascii="Arial" w:eastAsiaTheme="minorEastAsia" w:hAnsi="Arial" w:cs="Arial"/>
          <w:sz w:val="24"/>
          <w:szCs w:val="24"/>
          <w:lang w:val="fr-FR" w:eastAsia="es-AR"/>
        </w:rPr>
        <w:t>diferenciales</w:t>
      </w:r>
      <w:proofErr w:type="spellEnd"/>
      <w:r w:rsidRPr="009451FB">
        <w:rPr>
          <w:rFonts w:ascii="Arial" w:eastAsiaTheme="minorEastAsia" w:hAnsi="Arial" w:cs="Arial"/>
          <w:sz w:val="24"/>
          <w:szCs w:val="24"/>
          <w:lang w:val="fr-FR" w:eastAsia="es-AR"/>
        </w:rPr>
        <w:t>.</w:t>
      </w:r>
    </w:p>
    <w:p w14:paraId="5DD7CD53" w14:textId="77777777" w:rsidR="00EB1F45" w:rsidRPr="009451FB" w:rsidRDefault="00EB1F45" w:rsidP="009451FB">
      <w:pPr>
        <w:numPr>
          <w:ilvl w:val="0"/>
          <w:numId w:val="14"/>
        </w:numPr>
        <w:spacing w:after="0" w:line="240" w:lineRule="auto"/>
        <w:ind w:left="1800"/>
        <w:contextualSpacing/>
        <w:jc w:val="both"/>
        <w:rPr>
          <w:rFonts w:ascii="Arial" w:eastAsia="Times New Roman" w:hAnsi="Arial" w:cs="Arial"/>
          <w:sz w:val="24"/>
          <w:szCs w:val="24"/>
          <w:lang w:eastAsia="es-AR"/>
        </w:rPr>
      </w:pPr>
      <w:r w:rsidRPr="009451FB">
        <w:rPr>
          <w:rFonts w:ascii="Arial" w:eastAsiaTheme="minorEastAsia" w:hAnsi="Arial" w:cs="Arial"/>
          <w:sz w:val="24"/>
          <w:szCs w:val="24"/>
          <w:lang w:val="fr-FR" w:eastAsia="es-AR"/>
        </w:rPr>
        <w:t>R</w:t>
      </w:r>
      <w:r w:rsidRPr="009451FB">
        <w:rPr>
          <w:rFonts w:ascii="Arial" w:eastAsiaTheme="minorEastAsia" w:hAnsi="Arial" w:cs="Arial"/>
          <w:sz w:val="24"/>
          <w:szCs w:val="24"/>
          <w:lang w:eastAsia="es-AR"/>
        </w:rPr>
        <w:t>epresenta una visión normativa de las relaciones sociales basada en una construcción social discriminatoria y excluyente de la cultura y de la sociedad</w:t>
      </w:r>
    </w:p>
    <w:p w14:paraId="3AECE23D" w14:textId="77777777" w:rsidR="00EB1F45" w:rsidRPr="009451FB" w:rsidRDefault="00EB1F45" w:rsidP="009451FB">
      <w:pPr>
        <w:numPr>
          <w:ilvl w:val="0"/>
          <w:numId w:val="14"/>
        </w:numPr>
        <w:spacing w:after="0" w:line="240" w:lineRule="auto"/>
        <w:ind w:left="1800"/>
        <w:contextualSpacing/>
        <w:jc w:val="both"/>
        <w:rPr>
          <w:rFonts w:ascii="Arial" w:eastAsia="Times New Roman" w:hAnsi="Arial" w:cs="Arial"/>
          <w:sz w:val="24"/>
          <w:szCs w:val="24"/>
          <w:lang w:eastAsia="es-AR"/>
        </w:rPr>
      </w:pPr>
      <w:proofErr w:type="spellStart"/>
      <w:r w:rsidRPr="009451FB">
        <w:rPr>
          <w:rFonts w:ascii="Arial" w:eastAsiaTheme="minorEastAsia" w:hAnsi="Arial" w:cs="Arial"/>
          <w:sz w:val="24"/>
          <w:szCs w:val="24"/>
          <w:lang w:val="fr-FR" w:eastAsia="es-AR"/>
        </w:rPr>
        <w:t>Construye</w:t>
      </w:r>
      <w:proofErr w:type="spellEnd"/>
      <w:r w:rsidRPr="009451FB">
        <w:rPr>
          <w:rFonts w:ascii="Arial" w:eastAsiaTheme="minorEastAsia" w:hAnsi="Arial" w:cs="Arial"/>
          <w:sz w:val="24"/>
          <w:szCs w:val="24"/>
          <w:lang w:val="fr-FR" w:eastAsia="es-AR"/>
        </w:rPr>
        <w:t xml:space="preserve"> un </w:t>
      </w:r>
      <w:proofErr w:type="spellStart"/>
      <w:r w:rsidRPr="009451FB">
        <w:rPr>
          <w:rFonts w:ascii="Arial" w:eastAsiaTheme="minorEastAsia" w:hAnsi="Arial" w:cs="Arial"/>
          <w:sz w:val="24"/>
          <w:szCs w:val="24"/>
          <w:lang w:val="fr-FR" w:eastAsia="es-AR"/>
        </w:rPr>
        <w:t>orden</w:t>
      </w:r>
      <w:proofErr w:type="spellEnd"/>
      <w:r w:rsidRPr="009451FB">
        <w:rPr>
          <w:rFonts w:ascii="Arial" w:eastAsiaTheme="minorEastAsia" w:hAnsi="Arial" w:cs="Arial"/>
          <w:sz w:val="24"/>
          <w:szCs w:val="24"/>
          <w:lang w:val="fr-FR" w:eastAsia="es-AR"/>
        </w:rPr>
        <w:t xml:space="preserve"> </w:t>
      </w:r>
      <w:proofErr w:type="spellStart"/>
      <w:proofErr w:type="gramStart"/>
      <w:r w:rsidRPr="009451FB">
        <w:rPr>
          <w:rFonts w:ascii="Arial" w:eastAsiaTheme="minorEastAsia" w:hAnsi="Arial" w:cs="Arial"/>
          <w:sz w:val="24"/>
          <w:szCs w:val="24"/>
          <w:lang w:val="fr-FR" w:eastAsia="es-AR"/>
        </w:rPr>
        <w:t>jerárquico</w:t>
      </w:r>
      <w:proofErr w:type="spellEnd"/>
      <w:r w:rsidRPr="009451FB">
        <w:rPr>
          <w:rFonts w:ascii="Arial" w:eastAsiaTheme="minorEastAsia" w:hAnsi="Arial" w:cs="Arial"/>
          <w:sz w:val="24"/>
          <w:szCs w:val="24"/>
          <w:lang w:val="fr-FR" w:eastAsia="es-AR"/>
        </w:rPr>
        <w:t xml:space="preserve"> ,</w:t>
      </w:r>
      <w:proofErr w:type="gramEnd"/>
      <w:r w:rsidRPr="009451FB">
        <w:rPr>
          <w:rFonts w:ascii="Arial" w:eastAsiaTheme="minorEastAsia" w:hAnsi="Arial" w:cs="Arial"/>
          <w:sz w:val="24"/>
          <w:szCs w:val="24"/>
          <w:lang w:val="fr-FR" w:eastAsia="es-AR"/>
        </w:rPr>
        <w:t xml:space="preserve"> </w:t>
      </w:r>
      <w:proofErr w:type="spellStart"/>
      <w:r w:rsidRPr="009451FB">
        <w:rPr>
          <w:rFonts w:ascii="Arial" w:eastAsiaTheme="minorEastAsia" w:hAnsi="Arial" w:cs="Arial"/>
          <w:sz w:val="24"/>
          <w:szCs w:val="24"/>
          <w:lang w:val="fr-FR" w:eastAsia="es-AR"/>
        </w:rPr>
        <w:t>asimétrico</w:t>
      </w:r>
      <w:proofErr w:type="spellEnd"/>
      <w:r w:rsidRPr="009451FB">
        <w:rPr>
          <w:rFonts w:ascii="Arial" w:eastAsiaTheme="minorEastAsia" w:hAnsi="Arial" w:cs="Arial"/>
          <w:sz w:val="24"/>
          <w:szCs w:val="24"/>
          <w:lang w:val="fr-FR" w:eastAsia="es-AR"/>
        </w:rPr>
        <w:t xml:space="preserve"> y </w:t>
      </w:r>
      <w:proofErr w:type="spellStart"/>
      <w:r w:rsidRPr="009451FB">
        <w:rPr>
          <w:rFonts w:ascii="Arial" w:eastAsiaTheme="minorEastAsia" w:hAnsi="Arial" w:cs="Arial"/>
          <w:sz w:val="24"/>
          <w:szCs w:val="24"/>
          <w:lang w:val="fr-FR" w:eastAsia="es-AR"/>
        </w:rPr>
        <w:t>prescriptivo</w:t>
      </w:r>
      <w:proofErr w:type="spellEnd"/>
      <w:r w:rsidRPr="009451FB">
        <w:rPr>
          <w:rFonts w:ascii="Arial" w:eastAsiaTheme="minorEastAsia" w:hAnsi="Arial" w:cs="Arial"/>
          <w:sz w:val="24"/>
          <w:szCs w:val="24"/>
          <w:lang w:val="fr-FR" w:eastAsia="es-AR"/>
        </w:rPr>
        <w:t>.</w:t>
      </w:r>
    </w:p>
    <w:p w14:paraId="2CB00605" w14:textId="77777777" w:rsidR="00EB1F45" w:rsidRPr="009451FB" w:rsidRDefault="00EB1F45" w:rsidP="009451FB">
      <w:pPr>
        <w:numPr>
          <w:ilvl w:val="0"/>
          <w:numId w:val="14"/>
        </w:numPr>
        <w:spacing w:after="0" w:line="240" w:lineRule="auto"/>
        <w:ind w:left="1800"/>
        <w:contextualSpacing/>
        <w:jc w:val="both"/>
        <w:rPr>
          <w:rFonts w:ascii="Arial" w:eastAsia="Times New Roman" w:hAnsi="Arial" w:cs="Arial"/>
          <w:sz w:val="24"/>
          <w:szCs w:val="24"/>
          <w:lang w:eastAsia="es-AR"/>
        </w:rPr>
      </w:pPr>
      <w:proofErr w:type="spellStart"/>
      <w:r w:rsidRPr="009451FB">
        <w:rPr>
          <w:rFonts w:ascii="Arial" w:eastAsiaTheme="minorEastAsia" w:hAnsi="Arial" w:cs="Arial"/>
          <w:sz w:val="24"/>
          <w:szCs w:val="24"/>
          <w:lang w:val="fr-FR" w:eastAsia="es-AR"/>
        </w:rPr>
        <w:t>Construye</w:t>
      </w:r>
      <w:proofErr w:type="spellEnd"/>
      <w:r w:rsidRPr="009451FB">
        <w:rPr>
          <w:rFonts w:ascii="Arial" w:eastAsiaTheme="minorEastAsia" w:hAnsi="Arial" w:cs="Arial"/>
          <w:sz w:val="24"/>
          <w:szCs w:val="24"/>
          <w:lang w:val="fr-FR" w:eastAsia="es-AR"/>
        </w:rPr>
        <w:t xml:space="preserve"> un </w:t>
      </w:r>
      <w:proofErr w:type="spellStart"/>
      <w:r w:rsidRPr="009451FB">
        <w:rPr>
          <w:rFonts w:ascii="Arial" w:eastAsiaTheme="minorEastAsia" w:hAnsi="Arial" w:cs="Arial"/>
          <w:sz w:val="24"/>
          <w:szCs w:val="24"/>
          <w:lang w:val="fr-FR" w:eastAsia="es-AR"/>
        </w:rPr>
        <w:t>sistema</w:t>
      </w:r>
      <w:proofErr w:type="spellEnd"/>
      <w:r w:rsidRPr="009451FB">
        <w:rPr>
          <w:rFonts w:ascii="Arial" w:eastAsiaTheme="minorEastAsia" w:hAnsi="Arial" w:cs="Arial"/>
          <w:sz w:val="24"/>
          <w:szCs w:val="24"/>
          <w:lang w:val="fr-FR" w:eastAsia="es-AR"/>
        </w:rPr>
        <w:t xml:space="preserve"> de </w:t>
      </w:r>
      <w:proofErr w:type="spellStart"/>
      <w:proofErr w:type="gramStart"/>
      <w:r w:rsidRPr="009451FB">
        <w:rPr>
          <w:rFonts w:ascii="Arial" w:eastAsiaTheme="minorEastAsia" w:hAnsi="Arial" w:cs="Arial"/>
          <w:sz w:val="24"/>
          <w:szCs w:val="24"/>
          <w:lang w:val="fr-FR" w:eastAsia="es-AR"/>
        </w:rPr>
        <w:t>prestigio</w:t>
      </w:r>
      <w:proofErr w:type="spellEnd"/>
      <w:r w:rsidRPr="009451FB">
        <w:rPr>
          <w:rFonts w:ascii="Arial" w:eastAsiaTheme="minorEastAsia" w:hAnsi="Arial" w:cs="Arial"/>
          <w:sz w:val="24"/>
          <w:szCs w:val="24"/>
          <w:lang w:val="fr-FR" w:eastAsia="es-AR"/>
        </w:rPr>
        <w:t xml:space="preserve"> .</w:t>
      </w:r>
      <w:proofErr w:type="gramEnd"/>
    </w:p>
    <w:p w14:paraId="77E3A8B5" w14:textId="77777777" w:rsidR="00EB1F45" w:rsidRPr="009451FB" w:rsidRDefault="00EB1F45" w:rsidP="009451FB">
      <w:pPr>
        <w:spacing w:line="240" w:lineRule="auto"/>
        <w:jc w:val="both"/>
        <w:rPr>
          <w:rFonts w:ascii="Arial" w:hAnsi="Arial" w:cs="Arial"/>
          <w:sz w:val="24"/>
          <w:szCs w:val="24"/>
        </w:rPr>
      </w:pPr>
    </w:p>
    <w:p w14:paraId="73CC1F1D" w14:textId="77777777" w:rsidR="00EB1F45" w:rsidRPr="009451FB" w:rsidRDefault="00EB1F45" w:rsidP="009451FB">
      <w:pPr>
        <w:spacing w:line="240" w:lineRule="auto"/>
        <w:jc w:val="both"/>
        <w:rPr>
          <w:rFonts w:ascii="Arial" w:hAnsi="Arial" w:cs="Arial"/>
          <w:sz w:val="24"/>
          <w:szCs w:val="24"/>
        </w:rPr>
      </w:pPr>
      <w:r w:rsidRPr="009451FB">
        <w:rPr>
          <w:rFonts w:ascii="Arial" w:hAnsi="Arial" w:cs="Arial"/>
          <w:b/>
          <w:bCs/>
          <w:sz w:val="24"/>
          <w:szCs w:val="24"/>
        </w:rPr>
        <w:t>Estereotipos de Género</w:t>
      </w:r>
      <w:r w:rsidRPr="009451FB">
        <w:rPr>
          <w:rFonts w:ascii="Arial" w:hAnsi="Arial" w:cs="Arial"/>
          <w:sz w:val="24"/>
          <w:szCs w:val="24"/>
        </w:rPr>
        <w:t>:</w:t>
      </w:r>
    </w:p>
    <w:p w14:paraId="78D28302" w14:textId="77777777" w:rsidR="00EB1F45" w:rsidRPr="009451FB" w:rsidRDefault="00EB1F45" w:rsidP="009451FB">
      <w:pPr>
        <w:numPr>
          <w:ilvl w:val="0"/>
          <w:numId w:val="15"/>
        </w:numPr>
        <w:spacing w:after="0" w:line="240" w:lineRule="auto"/>
        <w:ind w:left="1699"/>
        <w:contextualSpacing/>
        <w:jc w:val="both"/>
        <w:rPr>
          <w:rFonts w:ascii="Arial" w:eastAsia="Times New Roman" w:hAnsi="Arial" w:cs="Arial"/>
          <w:color w:val="0365C0"/>
          <w:sz w:val="24"/>
          <w:szCs w:val="24"/>
          <w:lang w:eastAsia="es-AR"/>
        </w:rPr>
      </w:pPr>
      <w:r w:rsidRPr="009451FB">
        <w:rPr>
          <w:rFonts w:ascii="Arial" w:eastAsiaTheme="minorEastAsia" w:hAnsi="Arial" w:cs="Arial"/>
          <w:color w:val="222A35" w:themeColor="text2" w:themeShade="80"/>
          <w:sz w:val="24"/>
          <w:szCs w:val="24"/>
          <w:lang w:val="es-MX" w:eastAsia="es-AR"/>
        </w:rPr>
        <w:t>Se construyen sobre la base de la diferencia sexual.</w:t>
      </w:r>
    </w:p>
    <w:p w14:paraId="3EF8DE16" w14:textId="77777777" w:rsidR="00EB1F45" w:rsidRPr="009451FB" w:rsidRDefault="00EB1F45" w:rsidP="009451FB">
      <w:pPr>
        <w:numPr>
          <w:ilvl w:val="0"/>
          <w:numId w:val="15"/>
        </w:numPr>
        <w:spacing w:after="0" w:line="240" w:lineRule="auto"/>
        <w:ind w:left="1699"/>
        <w:contextualSpacing/>
        <w:jc w:val="both"/>
        <w:rPr>
          <w:rFonts w:ascii="Arial" w:eastAsia="Times New Roman" w:hAnsi="Arial" w:cs="Arial"/>
          <w:color w:val="0365C0"/>
          <w:sz w:val="24"/>
          <w:szCs w:val="24"/>
          <w:lang w:eastAsia="es-AR"/>
        </w:rPr>
      </w:pPr>
      <w:r w:rsidRPr="009451FB">
        <w:rPr>
          <w:rFonts w:ascii="Arial" w:eastAsiaTheme="minorEastAsia" w:hAnsi="Arial" w:cs="Arial"/>
          <w:color w:val="222A35" w:themeColor="text2" w:themeShade="80"/>
          <w:sz w:val="24"/>
          <w:szCs w:val="24"/>
          <w:lang w:val="es-MX" w:eastAsia="es-AR"/>
        </w:rPr>
        <w:t>Desconocen la diversidad de experiencias de lo femenino y de lo masculino. Entrañan valoraciones.</w:t>
      </w:r>
    </w:p>
    <w:p w14:paraId="6C6CBD4B" w14:textId="77777777" w:rsidR="00EB1F45" w:rsidRPr="009451FB" w:rsidRDefault="00EB1F45" w:rsidP="009451FB">
      <w:pPr>
        <w:numPr>
          <w:ilvl w:val="0"/>
          <w:numId w:val="15"/>
        </w:numPr>
        <w:spacing w:after="0" w:line="240" w:lineRule="auto"/>
        <w:ind w:left="1699"/>
        <w:contextualSpacing/>
        <w:jc w:val="both"/>
        <w:rPr>
          <w:rFonts w:ascii="Arial" w:eastAsia="Times New Roman" w:hAnsi="Arial" w:cs="Arial"/>
          <w:color w:val="0365C0"/>
          <w:sz w:val="24"/>
          <w:szCs w:val="24"/>
          <w:lang w:eastAsia="es-AR"/>
        </w:rPr>
      </w:pPr>
      <w:r w:rsidRPr="009451FB">
        <w:rPr>
          <w:rFonts w:ascii="Arial" w:eastAsiaTheme="minorEastAsia" w:hAnsi="Arial" w:cs="Arial"/>
          <w:color w:val="222A35" w:themeColor="text2" w:themeShade="80"/>
          <w:sz w:val="24"/>
          <w:szCs w:val="24"/>
          <w:lang w:val="es-MX" w:eastAsia="es-AR"/>
        </w:rPr>
        <w:lastRenderedPageBreak/>
        <w:t>Universalizan representaciones parciales al aplicarlas al conjunto heterogéneo.</w:t>
      </w:r>
    </w:p>
    <w:p w14:paraId="22A6D524" w14:textId="5E2C93FD" w:rsidR="00EB1F45" w:rsidRPr="009451FB" w:rsidRDefault="00EB1F45" w:rsidP="009451FB">
      <w:pPr>
        <w:numPr>
          <w:ilvl w:val="0"/>
          <w:numId w:val="15"/>
        </w:numPr>
        <w:spacing w:after="0" w:line="240" w:lineRule="auto"/>
        <w:ind w:left="1699"/>
        <w:contextualSpacing/>
        <w:jc w:val="both"/>
        <w:rPr>
          <w:rFonts w:ascii="Arial" w:eastAsia="Times New Roman" w:hAnsi="Arial" w:cs="Arial"/>
          <w:color w:val="0365C0"/>
          <w:sz w:val="24"/>
          <w:szCs w:val="24"/>
          <w:lang w:eastAsia="es-AR"/>
        </w:rPr>
      </w:pPr>
      <w:r w:rsidRPr="009451FB">
        <w:rPr>
          <w:rFonts w:ascii="Arial" w:eastAsiaTheme="minorEastAsia" w:hAnsi="Arial" w:cs="Arial"/>
          <w:color w:val="222A35" w:themeColor="text2" w:themeShade="80"/>
          <w:sz w:val="24"/>
          <w:szCs w:val="24"/>
          <w:lang w:val="es-MX" w:eastAsia="es-AR"/>
        </w:rPr>
        <w:t xml:space="preserve">Representaciones </w:t>
      </w:r>
      <w:r w:rsidRPr="009451FB">
        <w:rPr>
          <w:rFonts w:ascii="Arial" w:eastAsiaTheme="minorEastAsia" w:hAnsi="Arial" w:cs="Arial"/>
          <w:color w:val="222A35" w:themeColor="text2" w:themeShade="80"/>
          <w:sz w:val="24"/>
          <w:szCs w:val="24"/>
          <w:lang w:val="es-ES_tradnl" w:eastAsia="es-AR"/>
        </w:rPr>
        <w:t xml:space="preserve">parciales y “naturalizadas” de </w:t>
      </w:r>
      <w:r w:rsidRPr="009451FB">
        <w:rPr>
          <w:rFonts w:ascii="Arial" w:eastAsiaTheme="minorEastAsia" w:hAnsi="Arial" w:cs="Arial"/>
          <w:i/>
          <w:iCs/>
          <w:color w:val="222A35" w:themeColor="text2" w:themeShade="80"/>
          <w:sz w:val="24"/>
          <w:szCs w:val="24"/>
          <w:lang w:val="es-ES_tradnl" w:eastAsia="es-AR"/>
        </w:rPr>
        <w:t xml:space="preserve">la </w:t>
      </w:r>
      <w:r w:rsidRPr="009451FB">
        <w:rPr>
          <w:rFonts w:ascii="Arial" w:eastAsiaTheme="minorEastAsia" w:hAnsi="Arial" w:cs="Arial"/>
          <w:color w:val="222A35" w:themeColor="text2" w:themeShade="80"/>
          <w:sz w:val="24"/>
          <w:szCs w:val="24"/>
          <w:lang w:val="es-ES_tradnl" w:eastAsia="es-AR"/>
        </w:rPr>
        <w:t xml:space="preserve">femineidad y </w:t>
      </w:r>
      <w:r w:rsidRPr="009451FB">
        <w:rPr>
          <w:rFonts w:ascii="Arial" w:eastAsiaTheme="minorEastAsia" w:hAnsi="Arial" w:cs="Arial"/>
          <w:i/>
          <w:iCs/>
          <w:color w:val="222A35" w:themeColor="text2" w:themeShade="80"/>
          <w:sz w:val="24"/>
          <w:szCs w:val="24"/>
          <w:lang w:val="es-ES_tradnl" w:eastAsia="es-AR"/>
        </w:rPr>
        <w:t>la</w:t>
      </w:r>
      <w:r w:rsidRPr="009451FB">
        <w:rPr>
          <w:rFonts w:ascii="Arial" w:eastAsiaTheme="minorEastAsia" w:hAnsi="Arial" w:cs="Arial"/>
          <w:color w:val="222A35" w:themeColor="text2" w:themeShade="80"/>
          <w:sz w:val="24"/>
          <w:szCs w:val="24"/>
          <w:lang w:val="es-ES_tradnl" w:eastAsia="es-AR"/>
        </w:rPr>
        <w:t xml:space="preserve"> masculinidad.  </w:t>
      </w:r>
      <w:r w:rsidRPr="009451FB">
        <w:rPr>
          <w:rFonts w:ascii="Arial" w:eastAsiaTheme="minorEastAsia" w:hAnsi="Arial" w:cs="Arial"/>
          <w:color w:val="222A35" w:themeColor="text2" w:themeShade="80"/>
          <w:sz w:val="24"/>
          <w:szCs w:val="24"/>
          <w:u w:val="single"/>
          <w:lang w:val="es-ES_tradnl" w:eastAsia="es-AR"/>
        </w:rPr>
        <w:t xml:space="preserve">Lo femenino </w:t>
      </w:r>
      <w:r w:rsidRPr="009451FB">
        <w:rPr>
          <w:rFonts w:ascii="Arial" w:eastAsiaTheme="minorEastAsia" w:hAnsi="Arial" w:cs="Arial"/>
          <w:color w:val="222A35" w:themeColor="text2" w:themeShade="80"/>
          <w:sz w:val="24"/>
          <w:szCs w:val="24"/>
          <w:lang w:val="es-ES_tradnl" w:eastAsia="es-AR"/>
        </w:rPr>
        <w:t xml:space="preserve">se asocia a maternidad, familia,  capacidades “innatas” para el cuidado de los otros. </w:t>
      </w:r>
      <w:r w:rsidRPr="009451FB">
        <w:rPr>
          <w:rFonts w:ascii="Arial" w:eastAsiaTheme="minorEastAsia" w:hAnsi="Arial" w:cs="Arial"/>
          <w:color w:val="222A35" w:themeColor="text2" w:themeShade="80"/>
          <w:sz w:val="24"/>
          <w:szCs w:val="24"/>
          <w:u w:val="single"/>
          <w:lang w:val="es-ES_tradnl" w:eastAsia="es-AR"/>
        </w:rPr>
        <w:t xml:space="preserve">Lo masculino </w:t>
      </w:r>
      <w:r w:rsidRPr="009451FB">
        <w:rPr>
          <w:rFonts w:ascii="Arial" w:eastAsiaTheme="minorEastAsia" w:hAnsi="Arial" w:cs="Arial"/>
          <w:color w:val="222A35" w:themeColor="text2" w:themeShade="80"/>
          <w:sz w:val="24"/>
          <w:szCs w:val="24"/>
          <w:lang w:val="es-ES_tradnl" w:eastAsia="es-AR"/>
        </w:rPr>
        <w:t>se asocia a inteligencia, autoridad, racionalidad.</w:t>
      </w:r>
    </w:p>
    <w:p w14:paraId="754B9952" w14:textId="77777777" w:rsidR="00EB1F45" w:rsidRPr="009451FB" w:rsidRDefault="00EB1F45" w:rsidP="009451FB">
      <w:pPr>
        <w:numPr>
          <w:ilvl w:val="0"/>
          <w:numId w:val="15"/>
        </w:numPr>
        <w:spacing w:after="0" w:line="240" w:lineRule="auto"/>
        <w:ind w:left="1699"/>
        <w:contextualSpacing/>
        <w:jc w:val="both"/>
        <w:rPr>
          <w:rFonts w:ascii="Arial" w:eastAsia="Times New Roman" w:hAnsi="Arial" w:cs="Arial"/>
          <w:color w:val="0365C0"/>
          <w:sz w:val="24"/>
          <w:szCs w:val="24"/>
          <w:lang w:eastAsia="es-AR"/>
        </w:rPr>
      </w:pPr>
      <w:r w:rsidRPr="009451FB">
        <w:rPr>
          <w:rFonts w:ascii="Arial" w:eastAsiaTheme="minorEastAsia" w:hAnsi="Arial" w:cs="Arial"/>
          <w:color w:val="222A35" w:themeColor="text2" w:themeShade="80"/>
          <w:sz w:val="24"/>
          <w:szCs w:val="24"/>
          <w:lang w:val="es-MX" w:eastAsia="es-AR"/>
        </w:rPr>
        <w:t xml:space="preserve">Los roles de género se deducen de los estereotipos, definen las actividades propias de varones y mujeres. </w:t>
      </w:r>
    </w:p>
    <w:p w14:paraId="42663528" w14:textId="77777777" w:rsidR="00EB1F45" w:rsidRPr="009451FB" w:rsidRDefault="00EB1F45" w:rsidP="009451FB">
      <w:pPr>
        <w:spacing w:line="240" w:lineRule="auto"/>
        <w:jc w:val="both"/>
        <w:rPr>
          <w:rFonts w:ascii="Arial" w:hAnsi="Arial" w:cs="Arial"/>
          <w:sz w:val="24"/>
          <w:szCs w:val="24"/>
          <w:lang w:val="es-ES"/>
        </w:rPr>
      </w:pPr>
    </w:p>
    <w:p w14:paraId="66122129" w14:textId="77777777" w:rsidR="00EB1F45" w:rsidRPr="009451FB" w:rsidRDefault="00EB1F45" w:rsidP="009451FB">
      <w:pPr>
        <w:spacing w:line="240" w:lineRule="auto"/>
        <w:jc w:val="both"/>
        <w:rPr>
          <w:rFonts w:ascii="Arial" w:eastAsiaTheme="minorEastAsia" w:hAnsi="Arial" w:cs="Arial"/>
          <w:b/>
          <w:bCs/>
          <w:color w:val="44546A" w:themeColor="text2"/>
          <w:sz w:val="24"/>
          <w:szCs w:val="24"/>
        </w:rPr>
      </w:pPr>
      <w:r w:rsidRPr="009451FB">
        <w:rPr>
          <w:rFonts w:ascii="Arial" w:eastAsiaTheme="minorEastAsia" w:hAnsi="Arial" w:cs="Arial"/>
          <w:b/>
          <w:bCs/>
          <w:color w:val="44546A" w:themeColor="text2"/>
          <w:sz w:val="24"/>
          <w:szCs w:val="24"/>
        </w:rPr>
        <w:t>Identidades y sexualidades</w:t>
      </w:r>
    </w:p>
    <w:p w14:paraId="608F15BB" w14:textId="77777777" w:rsidR="00EB1F45" w:rsidRPr="009451FB" w:rsidRDefault="00EB1F45" w:rsidP="009451FB">
      <w:pPr>
        <w:spacing w:line="240" w:lineRule="auto"/>
        <w:jc w:val="both"/>
        <w:rPr>
          <w:rFonts w:ascii="Arial" w:eastAsiaTheme="minorEastAsia" w:hAnsi="Arial" w:cs="Arial"/>
          <w:b/>
          <w:bCs/>
          <w:sz w:val="24"/>
          <w:szCs w:val="24"/>
          <w:lang w:eastAsia="es-AR"/>
        </w:rPr>
      </w:pPr>
      <w:r w:rsidRPr="009451FB">
        <w:rPr>
          <w:rFonts w:ascii="Arial" w:eastAsiaTheme="minorEastAsia" w:hAnsi="Arial" w:cs="Arial"/>
          <w:b/>
          <w:bCs/>
          <w:color w:val="385623" w:themeColor="accent6" w:themeShade="80"/>
          <w:sz w:val="24"/>
          <w:szCs w:val="24"/>
          <w:lang w:val="es-ES_tradnl" w:eastAsia="es-AR"/>
        </w:rPr>
        <w:t xml:space="preserve">IDENTIDAD DE GÉNERO: refiere a </w:t>
      </w:r>
      <w:r w:rsidRPr="009451FB">
        <w:rPr>
          <w:rFonts w:ascii="Arial" w:eastAsiaTheme="minorEastAsia" w:hAnsi="Arial" w:cs="Arial"/>
          <w:b/>
          <w:bCs/>
          <w:sz w:val="24"/>
          <w:szCs w:val="24"/>
          <w:lang w:eastAsia="es-AR"/>
        </w:rPr>
        <w:t>la vivencia interna e individual del género tal como cada persona la siente, la cual puede corresponder o no con el sexo asignado al momento del nacimiento, incluyendo la vivencia personal del cuerpo.</w:t>
      </w:r>
    </w:p>
    <w:p w14:paraId="6C41A017" w14:textId="77777777" w:rsidR="00EB1F45" w:rsidRPr="009451FB" w:rsidRDefault="00EB1F45" w:rsidP="009451FB">
      <w:pPr>
        <w:spacing w:line="240" w:lineRule="auto"/>
        <w:jc w:val="both"/>
        <w:rPr>
          <w:rFonts w:ascii="Arial" w:eastAsia="Times New Roman" w:hAnsi="Arial" w:cs="Arial"/>
          <w:sz w:val="24"/>
          <w:szCs w:val="24"/>
          <w:lang w:eastAsia="es-AR"/>
        </w:rPr>
      </w:pPr>
      <w:r w:rsidRPr="009451FB">
        <w:rPr>
          <w:rFonts w:ascii="Arial" w:eastAsiaTheme="minorEastAsia" w:hAnsi="Arial" w:cs="Arial"/>
          <w:b/>
          <w:bCs/>
          <w:color w:val="385623" w:themeColor="accent6" w:themeShade="80"/>
          <w:sz w:val="24"/>
          <w:szCs w:val="24"/>
          <w:lang w:eastAsia="es-AR"/>
        </w:rPr>
        <w:t xml:space="preserve">ORIENTACIÓN SEXUAL: </w:t>
      </w:r>
      <w:r w:rsidRPr="009451FB">
        <w:rPr>
          <w:rFonts w:ascii="Arial" w:eastAsiaTheme="minorEastAsia" w:hAnsi="Arial" w:cs="Arial"/>
          <w:b/>
          <w:bCs/>
          <w:sz w:val="24"/>
          <w:szCs w:val="24"/>
          <w:lang w:eastAsia="es-AR"/>
        </w:rPr>
        <w:t>refiere a la “capacidad de cada persona de sentir una profunda atracción emocional, afectiva y sexual por personas de un género diferente al suyo o de su mismo género, o más de un género, así como a la capacidad de mantener relaciones íntimas y sexuales con estas personas”.</w:t>
      </w:r>
    </w:p>
    <w:p w14:paraId="2CA7878B" w14:textId="062435D4" w:rsidR="00EB1F45" w:rsidRPr="009451FB" w:rsidRDefault="00EB1F45" w:rsidP="009451FB">
      <w:pPr>
        <w:spacing w:before="840" w:after="0" w:line="240" w:lineRule="auto"/>
        <w:ind w:left="979" w:hanging="979"/>
        <w:jc w:val="both"/>
        <w:rPr>
          <w:rFonts w:ascii="Arial" w:eastAsia="Times New Roman" w:hAnsi="Arial" w:cs="Arial"/>
          <w:sz w:val="24"/>
          <w:szCs w:val="24"/>
          <w:lang w:eastAsia="es-AR"/>
        </w:rPr>
      </w:pPr>
      <w:r w:rsidRPr="009451FB">
        <w:rPr>
          <w:rFonts w:ascii="Arial" w:eastAsiaTheme="minorEastAsia" w:hAnsi="Arial" w:cs="Arial"/>
          <w:b/>
          <w:bCs/>
          <w:sz w:val="24"/>
          <w:szCs w:val="24"/>
          <w:lang w:eastAsia="es-AR"/>
        </w:rPr>
        <w:t xml:space="preserve">  CIS </w:t>
      </w:r>
      <w:proofErr w:type="gramStart"/>
      <w:r w:rsidRPr="009451FB">
        <w:rPr>
          <w:rFonts w:ascii="Arial" w:eastAsiaTheme="minorEastAsia" w:hAnsi="Arial" w:cs="Arial"/>
          <w:b/>
          <w:bCs/>
          <w:sz w:val="24"/>
          <w:szCs w:val="24"/>
          <w:lang w:eastAsia="es-AR"/>
        </w:rPr>
        <w:t>GENERO</w:t>
      </w:r>
      <w:proofErr w:type="gramEnd"/>
      <w:r w:rsidRPr="009451FB">
        <w:rPr>
          <w:rFonts w:ascii="Arial" w:eastAsiaTheme="minorEastAsia" w:hAnsi="Arial" w:cs="Arial"/>
          <w:b/>
          <w:bCs/>
          <w:sz w:val="24"/>
          <w:szCs w:val="24"/>
          <w:lang w:eastAsia="es-AR"/>
        </w:rPr>
        <w:t xml:space="preserve">: </w:t>
      </w:r>
      <w:r w:rsidRPr="009451FB">
        <w:rPr>
          <w:rFonts w:ascii="Arial" w:eastAsiaTheme="minorEastAsia" w:hAnsi="Arial" w:cs="Arial"/>
          <w:sz w:val="24"/>
          <w:szCs w:val="24"/>
          <w:lang w:eastAsia="es-AR"/>
        </w:rPr>
        <w:t>refiere a la correspondencia entre la identidad de género de una persona y su sexo biológico asignado al nacer. Si una mujer que se identifica con el género femenino o un varón con el género masculino, se dice que esa persona es cis</w:t>
      </w:r>
      <w:r w:rsidR="005B5968" w:rsidRPr="009451FB">
        <w:rPr>
          <w:rFonts w:ascii="Arial" w:eastAsiaTheme="minorEastAsia" w:hAnsi="Arial" w:cs="Arial"/>
          <w:sz w:val="24"/>
          <w:szCs w:val="24"/>
          <w:lang w:eastAsia="es-AR"/>
        </w:rPr>
        <w:t>-</w:t>
      </w:r>
      <w:r w:rsidRPr="009451FB">
        <w:rPr>
          <w:rFonts w:ascii="Arial" w:eastAsiaTheme="minorEastAsia" w:hAnsi="Arial" w:cs="Arial"/>
          <w:sz w:val="24"/>
          <w:szCs w:val="24"/>
          <w:lang w:eastAsia="es-AR"/>
        </w:rPr>
        <w:t>género o cis</w:t>
      </w:r>
      <w:r w:rsidR="005B5968" w:rsidRPr="009451FB">
        <w:rPr>
          <w:rFonts w:ascii="Arial" w:eastAsiaTheme="minorEastAsia" w:hAnsi="Arial" w:cs="Arial"/>
          <w:sz w:val="24"/>
          <w:szCs w:val="24"/>
          <w:lang w:eastAsia="es-AR"/>
        </w:rPr>
        <w:t>-</w:t>
      </w:r>
      <w:r w:rsidRPr="009451FB">
        <w:rPr>
          <w:rFonts w:ascii="Arial" w:eastAsiaTheme="minorEastAsia" w:hAnsi="Arial" w:cs="Arial"/>
          <w:sz w:val="24"/>
          <w:szCs w:val="24"/>
          <w:lang w:eastAsia="es-AR"/>
        </w:rPr>
        <w:t>genérica</w:t>
      </w:r>
    </w:p>
    <w:p w14:paraId="3207BCA2" w14:textId="206A56D3" w:rsidR="00EB1F45" w:rsidRPr="009451FB" w:rsidRDefault="00EB1F45" w:rsidP="009451FB">
      <w:pPr>
        <w:spacing w:line="240" w:lineRule="auto"/>
        <w:jc w:val="both"/>
        <w:rPr>
          <w:rFonts w:ascii="Arial" w:hAnsi="Arial" w:cs="Arial"/>
          <w:sz w:val="24"/>
          <w:szCs w:val="24"/>
        </w:rPr>
      </w:pPr>
      <w:r w:rsidRPr="009451FB">
        <w:rPr>
          <w:rFonts w:ascii="Arial" w:eastAsiaTheme="minorEastAsia" w:hAnsi="Arial" w:cs="Arial"/>
          <w:b/>
          <w:bCs/>
          <w:sz w:val="24"/>
          <w:szCs w:val="24"/>
          <w:lang w:eastAsia="es-AR"/>
        </w:rPr>
        <w:t xml:space="preserve">TRANS GENERO: </w:t>
      </w:r>
      <w:r w:rsidRPr="009451FB">
        <w:rPr>
          <w:rFonts w:ascii="Arial" w:eastAsiaTheme="minorEastAsia" w:hAnsi="Arial" w:cs="Arial"/>
          <w:sz w:val="24"/>
          <w:szCs w:val="24"/>
          <w:lang w:eastAsia="es-AR"/>
        </w:rPr>
        <w:t>refiere a diversas opciones en las que la identidad de género de una persona no se corresponde con su sexo biológico.Se dice que se trata de personas transgénero, trans</w:t>
      </w:r>
      <w:r w:rsidR="007A76D2">
        <w:rPr>
          <w:rFonts w:ascii="Arial" w:eastAsiaTheme="minorEastAsia" w:hAnsi="Arial" w:cs="Arial"/>
          <w:sz w:val="24"/>
          <w:szCs w:val="24"/>
          <w:lang w:eastAsia="es-AR"/>
        </w:rPr>
        <w:t xml:space="preserve"> </w:t>
      </w:r>
      <w:proofErr w:type="gramStart"/>
      <w:r w:rsidR="007A76D2">
        <w:rPr>
          <w:rFonts w:ascii="Arial" w:eastAsiaTheme="minorEastAsia" w:hAnsi="Arial" w:cs="Arial"/>
          <w:sz w:val="24"/>
          <w:szCs w:val="24"/>
          <w:lang w:eastAsia="es-AR"/>
        </w:rPr>
        <w:t>gené</w:t>
      </w:r>
      <w:r w:rsidRPr="009451FB">
        <w:rPr>
          <w:rFonts w:ascii="Arial" w:eastAsiaTheme="minorEastAsia" w:hAnsi="Arial" w:cs="Arial"/>
          <w:sz w:val="24"/>
          <w:szCs w:val="24"/>
          <w:lang w:eastAsia="es-AR"/>
        </w:rPr>
        <w:t>ricas .</w:t>
      </w:r>
      <w:proofErr w:type="gramEnd"/>
      <w:r w:rsidRPr="009451FB">
        <w:rPr>
          <w:rFonts w:ascii="Arial" w:eastAsiaTheme="minorEastAsia" w:hAnsi="Arial" w:cs="Arial"/>
          <w:sz w:val="24"/>
          <w:szCs w:val="24"/>
          <w:lang w:eastAsia="es-AR"/>
        </w:rPr>
        <w:t xml:space="preserve"> Se utiliza en ocasiones de modo general el prefijo “trans” aunque incluye múltiples posibilidades</w:t>
      </w:r>
    </w:p>
    <w:p w14:paraId="6DDC6439" w14:textId="54E00297" w:rsidR="00EB1F45" w:rsidRPr="009451FB" w:rsidRDefault="00B6379A" w:rsidP="009451FB">
      <w:pPr>
        <w:spacing w:line="240" w:lineRule="auto"/>
        <w:jc w:val="both"/>
        <w:rPr>
          <w:rFonts w:ascii="Arial" w:eastAsiaTheme="minorEastAsia" w:hAnsi="Arial" w:cs="Arial"/>
          <w:b/>
          <w:bCs/>
          <w:color w:val="000000" w:themeColor="text1" w:themeShade="BF"/>
          <w:sz w:val="24"/>
          <w:szCs w:val="24"/>
        </w:rPr>
      </w:pPr>
      <w:r w:rsidRPr="009451FB">
        <w:rPr>
          <w:rFonts w:ascii="Arial" w:eastAsiaTheme="minorEastAsia" w:hAnsi="Arial" w:cs="Arial"/>
          <w:b/>
          <w:bCs/>
          <w:color w:val="000000" w:themeColor="text1" w:themeShade="BF"/>
          <w:sz w:val="24"/>
          <w:szCs w:val="24"/>
        </w:rPr>
        <w:t xml:space="preserve">1.3 </w:t>
      </w:r>
      <w:r w:rsidR="00EB1F45" w:rsidRPr="009451FB">
        <w:rPr>
          <w:rFonts w:ascii="Arial" w:eastAsiaTheme="minorEastAsia" w:hAnsi="Arial" w:cs="Arial"/>
          <w:b/>
          <w:bCs/>
          <w:color w:val="000000" w:themeColor="text1" w:themeShade="BF"/>
          <w:sz w:val="24"/>
          <w:szCs w:val="24"/>
        </w:rPr>
        <w:t>Las tres autonomías y las brechas de género:</w:t>
      </w:r>
    </w:p>
    <w:p w14:paraId="3AFDC296" w14:textId="77777777" w:rsidR="00EB1F45" w:rsidRPr="009451FB" w:rsidRDefault="00EB1F45" w:rsidP="009451FB">
      <w:pPr>
        <w:spacing w:line="240" w:lineRule="auto"/>
        <w:jc w:val="both"/>
        <w:rPr>
          <w:rFonts w:ascii="Arial" w:eastAsia="Times New Roman" w:hAnsi="Arial" w:cs="Arial"/>
          <w:sz w:val="24"/>
          <w:szCs w:val="24"/>
          <w:lang w:eastAsia="es-AR"/>
        </w:rPr>
      </w:pPr>
      <w:r w:rsidRPr="009451FB">
        <w:rPr>
          <w:rFonts w:ascii="Arial" w:eastAsiaTheme="minorEastAsia" w:hAnsi="Arial" w:cs="Arial"/>
          <w:b/>
          <w:bCs/>
          <w:color w:val="44546A" w:themeColor="text2"/>
          <w:sz w:val="24"/>
          <w:szCs w:val="24"/>
          <w:lang w:eastAsia="es-AR"/>
        </w:rPr>
        <w:t xml:space="preserve">“Autonomía” : “la capacidad de las personas para tomar decisiones libres e informadas sobre sus vidas, de manera de poder ser y hacer en función de sus propias aspiraciones y deseos en el contexto histórico que las hace posibles” </w:t>
      </w:r>
      <w:r w:rsidRPr="009451FB">
        <w:rPr>
          <w:rFonts w:ascii="Arial" w:eastAsiaTheme="minorEastAsia" w:hAnsi="Arial" w:cs="Arial"/>
          <w:color w:val="44546A" w:themeColor="text2"/>
          <w:sz w:val="24"/>
          <w:szCs w:val="24"/>
          <w:lang w:eastAsia="es-AR"/>
        </w:rPr>
        <w:t xml:space="preserve">(CEPAL, 2011). </w:t>
      </w:r>
    </w:p>
    <w:p w14:paraId="341ED347" w14:textId="77777777" w:rsidR="00EB1F45" w:rsidRPr="009451FB" w:rsidRDefault="00EB1F45" w:rsidP="009451FB">
      <w:pPr>
        <w:spacing w:before="840" w:after="0" w:line="240" w:lineRule="auto"/>
        <w:ind w:left="979" w:hanging="979"/>
        <w:jc w:val="both"/>
        <w:rPr>
          <w:rFonts w:ascii="Arial" w:eastAsia="Times New Roman" w:hAnsi="Arial" w:cs="Arial"/>
          <w:sz w:val="24"/>
          <w:szCs w:val="24"/>
          <w:lang w:eastAsia="es-AR"/>
        </w:rPr>
      </w:pPr>
      <w:r w:rsidRPr="009451FB">
        <w:rPr>
          <w:rFonts w:ascii="Arial" w:eastAsiaTheme="minorEastAsia" w:hAnsi="Arial" w:cs="Arial"/>
          <w:b/>
          <w:bCs/>
          <w:color w:val="44546A" w:themeColor="text2"/>
          <w:sz w:val="24"/>
          <w:szCs w:val="24"/>
          <w:lang w:eastAsia="es-AR"/>
        </w:rPr>
        <w:tab/>
        <w:t>Existen desigualdades y prácticas discriminatorias relacionadas con la redistribución social y económica, así como con el reconocimiento político y simbólico, todo ello atenta contra la autonomía de las mujeres</w:t>
      </w:r>
      <w:r w:rsidRPr="009451FB">
        <w:rPr>
          <w:rFonts w:ascii="Arial" w:eastAsiaTheme="minorEastAsia" w:hAnsi="Arial" w:cs="Arial"/>
          <w:color w:val="44546A" w:themeColor="text2"/>
          <w:sz w:val="24"/>
          <w:szCs w:val="24"/>
          <w:lang w:eastAsia="es-AR"/>
        </w:rPr>
        <w:t>. Elemento central para alcanzar la igualdad como sujetos plenos del desarrollo</w:t>
      </w:r>
    </w:p>
    <w:p w14:paraId="1D9C1C05" w14:textId="77777777" w:rsidR="00EB1F45" w:rsidRPr="009451FB" w:rsidRDefault="00EB1F45" w:rsidP="009451FB">
      <w:pPr>
        <w:numPr>
          <w:ilvl w:val="0"/>
          <w:numId w:val="16"/>
        </w:numPr>
        <w:spacing w:after="0" w:line="240" w:lineRule="auto"/>
        <w:ind w:left="1526"/>
        <w:contextualSpacing/>
        <w:jc w:val="both"/>
        <w:rPr>
          <w:rFonts w:ascii="Arial" w:eastAsia="Times New Roman" w:hAnsi="Arial" w:cs="Arial"/>
          <w:sz w:val="24"/>
          <w:szCs w:val="24"/>
          <w:lang w:eastAsia="es-AR"/>
        </w:rPr>
      </w:pPr>
      <w:r w:rsidRPr="009451FB">
        <w:rPr>
          <w:rFonts w:ascii="Arial" w:eastAsiaTheme="minorEastAsia" w:hAnsi="Arial" w:cs="Arial"/>
          <w:b/>
          <w:bCs/>
          <w:color w:val="44546A" w:themeColor="text2"/>
          <w:sz w:val="24"/>
          <w:szCs w:val="24"/>
          <w:lang w:eastAsia="es-AR"/>
        </w:rPr>
        <w:t xml:space="preserve">Autonomía física: </w:t>
      </w:r>
      <w:r w:rsidRPr="009451FB">
        <w:rPr>
          <w:rFonts w:ascii="Arial" w:eastAsiaTheme="minorEastAsia" w:hAnsi="Arial" w:cs="Arial"/>
          <w:sz w:val="24"/>
          <w:szCs w:val="24"/>
          <w:lang w:eastAsia="es-AR"/>
        </w:rPr>
        <w:t xml:space="preserve">La autonomía física se expresa en dos </w:t>
      </w:r>
      <w:proofErr w:type="gramStart"/>
      <w:r w:rsidRPr="009451FB">
        <w:rPr>
          <w:rFonts w:ascii="Arial" w:eastAsiaTheme="minorEastAsia" w:hAnsi="Arial" w:cs="Arial"/>
          <w:sz w:val="24"/>
          <w:szCs w:val="24"/>
          <w:lang w:eastAsia="es-AR"/>
        </w:rPr>
        <w:t>dimensiones :</w:t>
      </w:r>
      <w:proofErr w:type="gramEnd"/>
      <w:r w:rsidRPr="009451FB">
        <w:rPr>
          <w:rFonts w:ascii="Arial" w:eastAsiaTheme="minorEastAsia" w:hAnsi="Arial" w:cs="Arial"/>
          <w:sz w:val="24"/>
          <w:szCs w:val="24"/>
          <w:lang w:eastAsia="es-AR"/>
        </w:rPr>
        <w:t xml:space="preserve"> el respeto a los derechos reproductivos de las mujeres y la violencia de género. </w:t>
      </w:r>
      <w:r w:rsidRPr="009451FB">
        <w:rPr>
          <w:rFonts w:ascii="Arial" w:eastAsiaTheme="minorEastAsia" w:hAnsi="Arial" w:cs="Arial"/>
          <w:b/>
          <w:bCs/>
          <w:sz w:val="24"/>
          <w:szCs w:val="24"/>
          <w:lang w:eastAsia="es-AR"/>
        </w:rPr>
        <w:t>Ejemplos Indicadores:</w:t>
      </w:r>
      <w:r w:rsidRPr="009451FB">
        <w:rPr>
          <w:rFonts w:ascii="Arial" w:eastAsiaTheme="minorEastAsia" w:hAnsi="Arial" w:cs="Arial"/>
          <w:sz w:val="24"/>
          <w:szCs w:val="24"/>
          <w:lang w:eastAsia="es-AR"/>
        </w:rPr>
        <w:t xml:space="preserve"> feminicidio; maternidad en adolescentes; mortalidad materna. </w:t>
      </w:r>
    </w:p>
    <w:p w14:paraId="08EB9B66" w14:textId="77777777" w:rsidR="00EB1F45" w:rsidRPr="009451FB" w:rsidRDefault="00EB1F45" w:rsidP="009451FB">
      <w:pPr>
        <w:numPr>
          <w:ilvl w:val="0"/>
          <w:numId w:val="16"/>
        </w:numPr>
        <w:spacing w:after="0" w:line="240" w:lineRule="auto"/>
        <w:ind w:left="1526"/>
        <w:contextualSpacing/>
        <w:jc w:val="both"/>
        <w:rPr>
          <w:rFonts w:ascii="Arial" w:eastAsia="Times New Roman" w:hAnsi="Arial" w:cs="Arial"/>
          <w:sz w:val="24"/>
          <w:szCs w:val="24"/>
          <w:lang w:eastAsia="es-AR"/>
        </w:rPr>
      </w:pPr>
      <w:r w:rsidRPr="009451FB">
        <w:rPr>
          <w:rFonts w:ascii="Arial" w:eastAsiaTheme="minorEastAsia" w:hAnsi="Arial" w:cs="Arial"/>
          <w:b/>
          <w:bCs/>
          <w:color w:val="44546A" w:themeColor="text2"/>
          <w:sz w:val="24"/>
          <w:szCs w:val="24"/>
          <w:lang w:eastAsia="es-AR"/>
        </w:rPr>
        <w:lastRenderedPageBreak/>
        <w:t xml:space="preserve">Autonomía económica: </w:t>
      </w:r>
      <w:r w:rsidRPr="009451FB">
        <w:rPr>
          <w:rFonts w:ascii="Arial" w:eastAsiaTheme="minorEastAsia" w:hAnsi="Arial" w:cs="Arial"/>
          <w:sz w:val="24"/>
          <w:szCs w:val="24"/>
          <w:lang w:eastAsia="es-AR"/>
        </w:rPr>
        <w:t xml:space="preserve">la capacidad de las mujeres de generar ingresos y recursos propios a partir del acceso al trabajo remunerado en igualdad de condiciones que los hombres. Considera el uso del tiempo y la contribución de las mujeres a la economía. </w:t>
      </w:r>
      <w:r w:rsidRPr="009451FB">
        <w:rPr>
          <w:rFonts w:ascii="Arial" w:eastAsiaTheme="minorEastAsia" w:hAnsi="Arial" w:cs="Arial"/>
          <w:b/>
          <w:bCs/>
          <w:sz w:val="24"/>
          <w:szCs w:val="24"/>
          <w:lang w:eastAsia="es-AR"/>
        </w:rPr>
        <w:t xml:space="preserve">Ejemplos </w:t>
      </w:r>
      <w:proofErr w:type="gramStart"/>
      <w:r w:rsidRPr="009451FB">
        <w:rPr>
          <w:rFonts w:ascii="Arial" w:eastAsiaTheme="minorEastAsia" w:hAnsi="Arial" w:cs="Arial"/>
          <w:b/>
          <w:bCs/>
          <w:sz w:val="24"/>
          <w:szCs w:val="24"/>
          <w:lang w:eastAsia="es-AR"/>
        </w:rPr>
        <w:t xml:space="preserve">Indicadores </w:t>
      </w:r>
      <w:r w:rsidRPr="009451FB">
        <w:rPr>
          <w:rFonts w:ascii="Arial" w:eastAsiaTheme="minorEastAsia" w:hAnsi="Arial" w:cs="Arial"/>
          <w:sz w:val="24"/>
          <w:szCs w:val="24"/>
          <w:lang w:eastAsia="es-AR"/>
        </w:rPr>
        <w:t>:</w:t>
      </w:r>
      <w:proofErr w:type="gramEnd"/>
      <w:r w:rsidRPr="009451FB">
        <w:rPr>
          <w:rFonts w:ascii="Arial" w:eastAsiaTheme="minorEastAsia" w:hAnsi="Arial" w:cs="Arial"/>
          <w:sz w:val="24"/>
          <w:szCs w:val="24"/>
          <w:lang w:eastAsia="es-AR"/>
        </w:rPr>
        <w:t xml:space="preserve"> tiempo de trabajo no remunerado por sexo; Índice femineidad en hogares pobres; Distribución de hogares pobres ocupados según nivel de productividad y    sexo.</w:t>
      </w:r>
    </w:p>
    <w:p w14:paraId="51B558A4" w14:textId="77777777" w:rsidR="00EB1F45" w:rsidRPr="009451FB" w:rsidRDefault="00EB1F45" w:rsidP="009451FB">
      <w:pPr>
        <w:numPr>
          <w:ilvl w:val="0"/>
          <w:numId w:val="16"/>
        </w:numPr>
        <w:spacing w:after="0" w:line="240" w:lineRule="auto"/>
        <w:ind w:left="1526"/>
        <w:contextualSpacing/>
        <w:jc w:val="both"/>
        <w:rPr>
          <w:rFonts w:ascii="Arial" w:eastAsia="Times New Roman" w:hAnsi="Arial" w:cs="Arial"/>
          <w:sz w:val="24"/>
          <w:szCs w:val="24"/>
          <w:lang w:eastAsia="es-AR"/>
        </w:rPr>
      </w:pPr>
      <w:r w:rsidRPr="009451FB">
        <w:rPr>
          <w:rFonts w:ascii="Arial" w:eastAsiaTheme="minorEastAsia" w:hAnsi="Arial" w:cs="Arial"/>
          <w:b/>
          <w:bCs/>
          <w:color w:val="44546A" w:themeColor="text2"/>
          <w:sz w:val="24"/>
          <w:szCs w:val="24"/>
          <w:lang w:eastAsia="es-AR"/>
        </w:rPr>
        <w:t xml:space="preserve">Autonomía en la toma de decisiones: </w:t>
      </w:r>
      <w:r w:rsidRPr="009451FB">
        <w:rPr>
          <w:rFonts w:ascii="Arial" w:eastAsiaTheme="minorEastAsia" w:hAnsi="Arial" w:cs="Arial"/>
          <w:sz w:val="24"/>
          <w:szCs w:val="24"/>
          <w:lang w:eastAsia="es-AR"/>
        </w:rPr>
        <w:t xml:space="preserve">se refiere a la presencia de las mujeres en los distintos niveles de los poderes del Estado y a las medidas orientadas a promover su participación plena y en igualdad de condiciones. </w:t>
      </w:r>
      <w:r w:rsidRPr="009451FB">
        <w:rPr>
          <w:rFonts w:ascii="Arial" w:eastAsiaTheme="minorEastAsia" w:hAnsi="Arial" w:cs="Arial"/>
          <w:b/>
          <w:bCs/>
          <w:sz w:val="24"/>
          <w:szCs w:val="24"/>
          <w:lang w:eastAsia="es-AR"/>
        </w:rPr>
        <w:t xml:space="preserve">Ejemplos Indicadores: </w:t>
      </w:r>
      <w:r w:rsidRPr="009451FB">
        <w:rPr>
          <w:rFonts w:ascii="Arial" w:eastAsiaTheme="minorEastAsia" w:hAnsi="Arial" w:cs="Arial"/>
          <w:sz w:val="24"/>
          <w:szCs w:val="24"/>
          <w:lang w:eastAsia="es-AR"/>
        </w:rPr>
        <w:t xml:space="preserve">% de mujeres en los gabinetes ministeriales; % de mujeres en el órgano legislativo nacional; % de mujeres ministras en el máximo tribunal de justicia o corte suprema; % de mujeres intendentas y /o concejalas electas; Nivel jerárquico de los Mecanismos para el Adelanto de la Mujer (MAM). </w:t>
      </w:r>
    </w:p>
    <w:p w14:paraId="35167B72" w14:textId="23910F0D" w:rsidR="00EB1F45" w:rsidRPr="009451FB" w:rsidRDefault="00EB1F45" w:rsidP="009451FB">
      <w:pPr>
        <w:spacing w:before="840" w:after="0" w:line="240" w:lineRule="auto"/>
        <w:ind w:left="806" w:hanging="806"/>
        <w:jc w:val="both"/>
        <w:rPr>
          <w:rFonts w:ascii="Arial" w:eastAsia="Times New Roman" w:hAnsi="Arial" w:cs="Arial"/>
          <w:sz w:val="24"/>
          <w:szCs w:val="24"/>
          <w:lang w:eastAsia="es-AR"/>
        </w:rPr>
      </w:pPr>
      <w:r w:rsidRPr="009451FB">
        <w:rPr>
          <w:rFonts w:ascii="Arial" w:eastAsiaTheme="minorEastAsia" w:hAnsi="Arial" w:cs="Arial"/>
          <w:b/>
          <w:bCs/>
          <w:sz w:val="24"/>
          <w:szCs w:val="24"/>
          <w:lang w:eastAsia="es-AR"/>
        </w:rPr>
        <w:tab/>
        <w:t>INTERRELACIÓN ENTRE LAS AUTONOMIAS Los fenómenos de desigualdad de género requieren ser analizados en una perspectiva inter</w:t>
      </w:r>
      <w:r w:rsidR="007A76D2">
        <w:rPr>
          <w:rFonts w:ascii="Arial" w:eastAsiaTheme="minorEastAsia" w:hAnsi="Arial" w:cs="Arial"/>
          <w:b/>
          <w:bCs/>
          <w:sz w:val="24"/>
          <w:szCs w:val="24"/>
          <w:lang w:eastAsia="es-AR"/>
        </w:rPr>
        <w:t xml:space="preserve"> r</w:t>
      </w:r>
      <w:r w:rsidRPr="009451FB">
        <w:rPr>
          <w:rFonts w:ascii="Arial" w:eastAsiaTheme="minorEastAsia" w:hAnsi="Arial" w:cs="Arial"/>
          <w:b/>
          <w:bCs/>
          <w:sz w:val="24"/>
          <w:szCs w:val="24"/>
          <w:lang w:eastAsia="es-AR"/>
        </w:rPr>
        <w:t>elacional. L</w:t>
      </w:r>
      <w:r w:rsidRPr="009451FB">
        <w:rPr>
          <w:rFonts w:ascii="Arial" w:eastAsiaTheme="minorEastAsia" w:hAnsi="Arial" w:cs="Arial"/>
          <w:sz w:val="24"/>
          <w:szCs w:val="24"/>
          <w:lang w:eastAsia="es-AR"/>
        </w:rPr>
        <w:t>a falta de autonomía física o las dificultades en el control de sus propios cuerpos repercuten en las condiciones necesarias para el logro de la autonomía económica</w:t>
      </w:r>
    </w:p>
    <w:p w14:paraId="3A8AA586" w14:textId="77777777" w:rsidR="00EB1F45" w:rsidRPr="009451FB" w:rsidRDefault="00EB1F45" w:rsidP="009451FB">
      <w:pPr>
        <w:spacing w:line="240" w:lineRule="auto"/>
        <w:jc w:val="both"/>
        <w:rPr>
          <w:rFonts w:ascii="Arial" w:eastAsiaTheme="minorEastAsia" w:hAnsi="Arial" w:cs="Arial"/>
          <w:b/>
          <w:bCs/>
          <w:color w:val="000000" w:themeColor="text1" w:themeShade="BF"/>
          <w:sz w:val="24"/>
          <w:szCs w:val="24"/>
        </w:rPr>
      </w:pPr>
    </w:p>
    <w:p w14:paraId="73FCC8BD" w14:textId="77777777" w:rsidR="00EB1F45" w:rsidRPr="009451FB" w:rsidRDefault="00EB1F45" w:rsidP="009451FB">
      <w:pPr>
        <w:spacing w:line="240" w:lineRule="auto"/>
        <w:jc w:val="both"/>
        <w:rPr>
          <w:rFonts w:ascii="Arial" w:eastAsiaTheme="minorEastAsia" w:hAnsi="Arial" w:cs="Arial"/>
          <w:color w:val="000000" w:themeColor="text1" w:themeShade="BF"/>
          <w:sz w:val="24"/>
          <w:szCs w:val="24"/>
        </w:rPr>
      </w:pPr>
      <w:r w:rsidRPr="009451FB">
        <w:rPr>
          <w:rFonts w:ascii="Arial" w:eastAsiaTheme="minorEastAsia" w:hAnsi="Arial" w:cs="Arial"/>
          <w:b/>
          <w:bCs/>
          <w:color w:val="000000" w:themeColor="text1" w:themeShade="BF"/>
          <w:sz w:val="24"/>
          <w:szCs w:val="24"/>
        </w:rPr>
        <w:t>Autonomía económica</w:t>
      </w:r>
      <w:r w:rsidRPr="009451FB">
        <w:rPr>
          <w:rFonts w:ascii="Arial" w:eastAsiaTheme="minorEastAsia" w:hAnsi="Arial" w:cs="Arial"/>
          <w:b/>
          <w:bCs/>
          <w:color w:val="000000" w:themeColor="text1" w:themeShade="BF"/>
          <w:sz w:val="24"/>
          <w:szCs w:val="24"/>
        </w:rPr>
        <w:br/>
        <w:t xml:space="preserve">Tiempo de trabajo remunerado y no remunerado </w:t>
      </w:r>
      <w:r w:rsidRPr="009451FB">
        <w:rPr>
          <w:rFonts w:ascii="Arial" w:eastAsiaTheme="minorEastAsia" w:hAnsi="Arial" w:cs="Arial"/>
          <w:color w:val="000000" w:themeColor="text1" w:themeShade="BF"/>
          <w:sz w:val="24"/>
          <w:szCs w:val="24"/>
        </w:rPr>
        <w:t>(promedio horas semanales)</w:t>
      </w:r>
      <w:r w:rsidRPr="009451FB">
        <w:rPr>
          <w:rFonts w:ascii="Arial" w:eastAsiaTheme="minorEastAsia" w:hAnsi="Arial" w:cs="Arial"/>
          <w:color w:val="000000" w:themeColor="text1" w:themeShade="BF"/>
          <w:sz w:val="24"/>
          <w:szCs w:val="24"/>
        </w:rPr>
        <w:br/>
        <w:t>Fuente: Observatorio de igualdad de Género CEPAL-</w:t>
      </w:r>
    </w:p>
    <w:p w14:paraId="43ADEA4E" w14:textId="77777777" w:rsidR="00EB1F45" w:rsidRPr="009451FB" w:rsidRDefault="00EB1F45" w:rsidP="009451FB">
      <w:pPr>
        <w:spacing w:line="240" w:lineRule="auto"/>
        <w:jc w:val="both"/>
        <w:rPr>
          <w:rFonts w:ascii="Arial" w:eastAsiaTheme="minorEastAsia" w:hAnsi="Arial" w:cs="Arial"/>
          <w:color w:val="000000" w:themeColor="text1" w:themeShade="BF"/>
          <w:sz w:val="24"/>
          <w:szCs w:val="24"/>
        </w:rPr>
      </w:pPr>
    </w:p>
    <w:p w14:paraId="02027EB1" w14:textId="77777777" w:rsidR="00EB1F45" w:rsidRPr="009451FB" w:rsidRDefault="00EB1F45" w:rsidP="009451FB">
      <w:pPr>
        <w:spacing w:line="240" w:lineRule="auto"/>
        <w:jc w:val="both"/>
        <w:rPr>
          <w:rFonts w:ascii="Arial" w:eastAsiaTheme="minorEastAsia" w:hAnsi="Arial" w:cs="Arial"/>
          <w:b/>
          <w:bCs/>
          <w:color w:val="000000" w:themeColor="text1" w:themeShade="BF"/>
          <w:sz w:val="24"/>
          <w:szCs w:val="24"/>
        </w:rPr>
      </w:pPr>
      <w:r w:rsidRPr="009451FB">
        <w:rPr>
          <w:rFonts w:ascii="Arial" w:hAnsi="Arial" w:cs="Arial"/>
          <w:noProof/>
          <w:sz w:val="24"/>
          <w:szCs w:val="24"/>
          <w:lang w:eastAsia="es-AR"/>
        </w:rPr>
        <w:drawing>
          <wp:inline distT="0" distB="0" distL="0" distR="0" wp14:anchorId="2626F749" wp14:editId="3FE978B2">
            <wp:extent cx="5400040" cy="2159635"/>
            <wp:effectExtent l="0" t="0" r="0" b="0"/>
            <wp:docPr id="81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Imagen 1"/>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00040" cy="2159635"/>
                    </a:xfrm>
                    <a:prstGeom prst="rect">
                      <a:avLst/>
                    </a:prstGeom>
                    <a:noFill/>
                    <a:ln>
                      <a:noFill/>
                    </a:ln>
                  </pic:spPr>
                </pic:pic>
              </a:graphicData>
            </a:graphic>
          </wp:inline>
        </w:drawing>
      </w:r>
    </w:p>
    <w:p w14:paraId="34C3034D" w14:textId="6A65682B" w:rsidR="00EB1F45" w:rsidRPr="009451FB" w:rsidRDefault="00B6379A" w:rsidP="009451FB">
      <w:pPr>
        <w:spacing w:line="240" w:lineRule="auto"/>
        <w:jc w:val="both"/>
        <w:rPr>
          <w:rFonts w:ascii="Arial" w:eastAsiaTheme="minorEastAsia" w:hAnsi="Arial" w:cs="Arial"/>
          <w:b/>
          <w:bCs/>
          <w:color w:val="000000" w:themeColor="text1" w:themeShade="BF"/>
          <w:sz w:val="24"/>
          <w:szCs w:val="24"/>
        </w:rPr>
      </w:pPr>
      <w:bookmarkStart w:id="1" w:name="_Hlk54269750"/>
      <w:r w:rsidRPr="009451FB">
        <w:rPr>
          <w:rFonts w:ascii="Arial" w:eastAsiaTheme="minorEastAsia" w:hAnsi="Arial" w:cs="Arial"/>
          <w:b/>
          <w:bCs/>
          <w:color w:val="000000" w:themeColor="text1" w:themeShade="BF"/>
          <w:sz w:val="24"/>
          <w:szCs w:val="24"/>
        </w:rPr>
        <w:t>1.4</w:t>
      </w:r>
      <w:r w:rsidR="00EB1F45" w:rsidRPr="009451FB">
        <w:rPr>
          <w:rFonts w:ascii="Arial" w:eastAsiaTheme="minorEastAsia" w:hAnsi="Arial" w:cs="Arial"/>
          <w:b/>
          <w:bCs/>
          <w:color w:val="000000" w:themeColor="text1" w:themeShade="BF"/>
          <w:sz w:val="24"/>
          <w:szCs w:val="24"/>
        </w:rPr>
        <w:t xml:space="preserve"> Igualdad y Equidad de Género. Brecha de Género</w:t>
      </w:r>
      <w:bookmarkEnd w:id="1"/>
    </w:p>
    <w:p w14:paraId="386260E4"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b/>
          <w:bCs/>
          <w:sz w:val="24"/>
          <w:szCs w:val="24"/>
          <w:lang w:eastAsia="es-AR"/>
        </w:rPr>
        <w:t xml:space="preserve">La igualdad de género se refiere a la igualdad de derechos, responsabilidades y oportunidades de las mujeres y los varones y  otras identidades de género. </w:t>
      </w:r>
    </w:p>
    <w:p w14:paraId="312BD2FC"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sz w:val="24"/>
          <w:szCs w:val="24"/>
          <w:lang w:eastAsia="es-AR"/>
        </w:rPr>
        <w:lastRenderedPageBreak/>
        <w:t xml:space="preserve">Significa que </w:t>
      </w:r>
      <w:r w:rsidRPr="009451FB">
        <w:rPr>
          <w:rFonts w:ascii="Arial" w:eastAsiaTheme="minorEastAsia" w:hAnsi="Arial" w:cs="Arial"/>
          <w:b/>
          <w:bCs/>
          <w:sz w:val="24"/>
          <w:szCs w:val="24"/>
          <w:lang w:eastAsia="es-AR"/>
        </w:rPr>
        <w:t>los derechos, responsabilidades y oportunidades de las personas no dependerán de si nacieron con determinado sexo.</w:t>
      </w:r>
      <w:r w:rsidRPr="009451FB">
        <w:rPr>
          <w:rFonts w:ascii="Arial" w:eastAsiaTheme="minorEastAsia" w:hAnsi="Arial" w:cs="Arial"/>
          <w:sz w:val="24"/>
          <w:szCs w:val="24"/>
          <w:lang w:eastAsia="es-AR"/>
        </w:rPr>
        <w:t xml:space="preserve"> </w:t>
      </w:r>
    </w:p>
    <w:p w14:paraId="7949E450"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sz w:val="24"/>
          <w:szCs w:val="24"/>
          <w:lang w:eastAsia="es-AR"/>
        </w:rPr>
        <w:t xml:space="preserve">Implica que </w:t>
      </w:r>
      <w:r w:rsidRPr="009451FB">
        <w:rPr>
          <w:rFonts w:ascii="Arial" w:eastAsiaTheme="minorEastAsia" w:hAnsi="Arial" w:cs="Arial"/>
          <w:b/>
          <w:bCs/>
          <w:sz w:val="24"/>
          <w:szCs w:val="24"/>
          <w:lang w:eastAsia="es-AR"/>
        </w:rPr>
        <w:t>todos los seres humanos, hombres y mujeres, son libres para desarrollar sus capacidades personales y para tomar decisiones</w:t>
      </w:r>
      <w:r w:rsidRPr="009451FB">
        <w:rPr>
          <w:rFonts w:ascii="Arial" w:eastAsiaTheme="minorEastAsia" w:hAnsi="Arial" w:cs="Arial"/>
          <w:sz w:val="24"/>
          <w:szCs w:val="24"/>
          <w:lang w:eastAsia="es-AR"/>
        </w:rPr>
        <w:t xml:space="preserve">. Es una cuestión de Derechos Humanos. Considerar los intereses, necesidades y prioridades de todas las personas, </w:t>
      </w:r>
      <w:r w:rsidRPr="009451FB">
        <w:rPr>
          <w:rFonts w:ascii="Arial" w:eastAsiaTheme="minorEastAsia" w:hAnsi="Arial" w:cs="Arial"/>
          <w:b/>
          <w:bCs/>
          <w:sz w:val="24"/>
          <w:szCs w:val="24"/>
          <w:lang w:eastAsia="es-AR"/>
        </w:rPr>
        <w:t xml:space="preserve">reconociendo la diversidad </w:t>
      </w:r>
      <w:r w:rsidRPr="009451FB">
        <w:rPr>
          <w:rFonts w:ascii="Arial" w:eastAsiaTheme="minorEastAsia" w:hAnsi="Arial" w:cs="Arial"/>
          <w:sz w:val="24"/>
          <w:szCs w:val="24"/>
          <w:lang w:eastAsia="es-AR"/>
        </w:rPr>
        <w:t xml:space="preserve">de diferentes grupos.   </w:t>
      </w:r>
    </w:p>
    <w:p w14:paraId="22C8B7F1"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b/>
          <w:bCs/>
          <w:sz w:val="24"/>
          <w:szCs w:val="24"/>
          <w:lang w:eastAsia="es-AR"/>
        </w:rPr>
        <w:t>La equidad de género</w:t>
      </w:r>
      <w:r w:rsidRPr="009451FB">
        <w:rPr>
          <w:rFonts w:ascii="Arial" w:eastAsiaTheme="minorEastAsia" w:hAnsi="Arial" w:cs="Arial"/>
          <w:sz w:val="24"/>
          <w:szCs w:val="24"/>
          <w:lang w:eastAsia="es-AR"/>
        </w:rPr>
        <w:t>, es e</w:t>
      </w:r>
      <w:r w:rsidRPr="009451FB">
        <w:rPr>
          <w:rFonts w:ascii="Arial" w:eastAsiaTheme="minorEastAsia" w:hAnsi="Arial" w:cs="Arial"/>
          <w:b/>
          <w:bCs/>
          <w:sz w:val="24"/>
          <w:szCs w:val="24"/>
          <w:lang w:eastAsia="es-AR"/>
        </w:rPr>
        <w:t xml:space="preserve">l medio para lograr la igualdad: justicia </w:t>
      </w:r>
      <w:r w:rsidRPr="009451FB">
        <w:rPr>
          <w:rFonts w:ascii="Arial" w:eastAsiaTheme="minorEastAsia" w:hAnsi="Arial" w:cs="Arial"/>
          <w:sz w:val="24"/>
          <w:szCs w:val="24"/>
          <w:lang w:eastAsia="es-AR"/>
        </w:rPr>
        <w:t>en el tratamiento a mujeres y hombres de acuerdo a sus respectivas necesidades.</w:t>
      </w:r>
    </w:p>
    <w:p w14:paraId="09455B2A" w14:textId="77777777" w:rsidR="00EB1F45" w:rsidRPr="009451FB" w:rsidRDefault="00EB1F45" w:rsidP="009451FB">
      <w:pPr>
        <w:spacing w:after="0" w:line="240" w:lineRule="auto"/>
        <w:jc w:val="both"/>
        <w:rPr>
          <w:rFonts w:ascii="Arial" w:eastAsia="Times New Roman" w:hAnsi="Arial" w:cs="Arial"/>
          <w:sz w:val="24"/>
          <w:szCs w:val="24"/>
          <w:lang w:eastAsia="es-AR"/>
        </w:rPr>
      </w:pPr>
      <w:r w:rsidRPr="009451FB">
        <w:rPr>
          <w:rFonts w:ascii="Arial" w:eastAsiaTheme="minorEastAsia" w:hAnsi="Arial" w:cs="Arial"/>
          <w:b/>
          <w:bCs/>
          <w:sz w:val="24"/>
          <w:szCs w:val="24"/>
          <w:lang w:eastAsia="es-AR"/>
        </w:rPr>
        <w:t>La equidad de género implica la posibilidad de tratamientos diferenciales para corregir desigualdades de partida</w:t>
      </w:r>
      <w:r w:rsidRPr="009451FB">
        <w:rPr>
          <w:rFonts w:ascii="Arial" w:eastAsiaTheme="minorEastAsia" w:hAnsi="Arial" w:cs="Arial"/>
          <w:sz w:val="24"/>
          <w:szCs w:val="24"/>
          <w:lang w:eastAsia="es-AR"/>
        </w:rPr>
        <w:t>; medidas no necesariamente iguales, pero conducentes a la igualdad en términos de derechos, beneficios, obligaciones y oportunidades.</w:t>
      </w:r>
    </w:p>
    <w:p w14:paraId="44C72017" w14:textId="77777777" w:rsidR="00EB1F45" w:rsidRPr="009451FB" w:rsidRDefault="00EB1F45" w:rsidP="009451FB">
      <w:pPr>
        <w:spacing w:line="240" w:lineRule="auto"/>
        <w:jc w:val="both"/>
        <w:rPr>
          <w:rFonts w:ascii="Arial" w:eastAsiaTheme="minorEastAsia" w:hAnsi="Arial" w:cs="Arial"/>
          <w:b/>
          <w:bCs/>
          <w:color w:val="000000" w:themeColor="text1" w:themeShade="BF"/>
          <w:sz w:val="24"/>
          <w:szCs w:val="24"/>
        </w:rPr>
      </w:pPr>
    </w:p>
    <w:p w14:paraId="358D9D53" w14:textId="14D939F8" w:rsidR="005A078B" w:rsidRPr="009451FB" w:rsidRDefault="005A078B" w:rsidP="009451FB">
      <w:pPr>
        <w:spacing w:line="240" w:lineRule="auto"/>
        <w:jc w:val="both"/>
        <w:rPr>
          <w:rFonts w:ascii="Arial" w:hAnsi="Arial" w:cs="Arial"/>
          <w:sz w:val="24"/>
          <w:szCs w:val="24"/>
        </w:rPr>
      </w:pPr>
    </w:p>
    <w:p w14:paraId="36545F24" w14:textId="77777777" w:rsidR="00B6379A" w:rsidRPr="009451FB" w:rsidRDefault="00B6379A" w:rsidP="009451FB">
      <w:pPr>
        <w:spacing w:line="240" w:lineRule="auto"/>
        <w:jc w:val="both"/>
        <w:rPr>
          <w:rFonts w:ascii="Arial" w:hAnsi="Arial" w:cs="Arial"/>
          <w:b/>
          <w:bCs/>
          <w:sz w:val="24"/>
          <w:szCs w:val="24"/>
        </w:rPr>
      </w:pPr>
    </w:p>
    <w:p w14:paraId="7A99B834" w14:textId="77777777" w:rsidR="00B6379A" w:rsidRPr="009451FB" w:rsidRDefault="00B6379A" w:rsidP="009451FB">
      <w:pPr>
        <w:spacing w:line="240" w:lineRule="auto"/>
        <w:jc w:val="both"/>
        <w:rPr>
          <w:rFonts w:ascii="Arial" w:hAnsi="Arial" w:cs="Arial"/>
          <w:b/>
          <w:bCs/>
          <w:sz w:val="24"/>
          <w:szCs w:val="24"/>
        </w:rPr>
      </w:pPr>
    </w:p>
    <w:p w14:paraId="0C6122E4" w14:textId="5B6E2A89" w:rsidR="00B6379A" w:rsidRPr="009451FB" w:rsidRDefault="00B6379A" w:rsidP="009451FB">
      <w:pPr>
        <w:spacing w:line="240" w:lineRule="auto"/>
        <w:jc w:val="both"/>
        <w:rPr>
          <w:rFonts w:ascii="Arial" w:hAnsi="Arial" w:cs="Arial"/>
          <w:b/>
          <w:bCs/>
          <w:sz w:val="24"/>
          <w:szCs w:val="24"/>
          <w:u w:val="single"/>
        </w:rPr>
      </w:pPr>
      <w:bookmarkStart w:id="2" w:name="_Hlk54269789"/>
      <w:r w:rsidRPr="009451FB">
        <w:rPr>
          <w:rFonts w:ascii="Arial" w:hAnsi="Arial" w:cs="Arial"/>
          <w:b/>
          <w:bCs/>
          <w:sz w:val="24"/>
          <w:szCs w:val="24"/>
          <w:u w:val="single"/>
        </w:rPr>
        <w:t>2. La brecha de género en Argentina. Demografía. Situación laboral y previsional</w:t>
      </w:r>
      <w:r w:rsidR="008B668A" w:rsidRPr="009451FB">
        <w:rPr>
          <w:rFonts w:ascii="Arial" w:hAnsi="Arial" w:cs="Arial"/>
          <w:b/>
          <w:bCs/>
          <w:sz w:val="24"/>
          <w:szCs w:val="24"/>
          <w:u w:val="single"/>
        </w:rPr>
        <w:t xml:space="preserve"> </w:t>
      </w:r>
      <w:r w:rsidR="008B668A" w:rsidRPr="00DC34F9">
        <w:rPr>
          <w:rFonts w:ascii="Arial" w:hAnsi="Arial" w:cs="Arial"/>
          <w:b/>
          <w:bCs/>
          <w:sz w:val="20"/>
          <w:szCs w:val="20"/>
          <w:u w:val="single"/>
        </w:rPr>
        <w:t>(2)</w:t>
      </w:r>
    </w:p>
    <w:p w14:paraId="6C919723" w14:textId="7E54A472" w:rsidR="005A078B" w:rsidRPr="009451FB" w:rsidRDefault="00B6379A" w:rsidP="009451FB">
      <w:pPr>
        <w:spacing w:line="240" w:lineRule="auto"/>
        <w:jc w:val="both"/>
        <w:rPr>
          <w:rFonts w:ascii="Arial" w:hAnsi="Arial" w:cs="Arial"/>
          <w:sz w:val="24"/>
          <w:szCs w:val="24"/>
        </w:rPr>
      </w:pPr>
      <w:r w:rsidRPr="009451FB">
        <w:rPr>
          <w:rFonts w:ascii="Arial" w:hAnsi="Arial" w:cs="Arial"/>
          <w:b/>
          <w:bCs/>
          <w:sz w:val="24"/>
          <w:szCs w:val="24"/>
        </w:rPr>
        <w:t xml:space="preserve">2.1. </w:t>
      </w:r>
      <w:r w:rsidR="00F833B5" w:rsidRPr="009451FB">
        <w:rPr>
          <w:rFonts w:ascii="Arial" w:hAnsi="Arial" w:cs="Arial"/>
          <w:b/>
          <w:bCs/>
          <w:sz w:val="24"/>
          <w:szCs w:val="24"/>
        </w:rPr>
        <w:t xml:space="preserve">Demografía. </w:t>
      </w:r>
      <w:r w:rsidR="005A078B" w:rsidRPr="009451FB">
        <w:rPr>
          <w:rFonts w:ascii="Arial" w:hAnsi="Arial" w:cs="Arial"/>
          <w:b/>
          <w:bCs/>
          <w:sz w:val="24"/>
          <w:szCs w:val="24"/>
        </w:rPr>
        <w:t>Datos Poblacionales de la Argentina</w:t>
      </w:r>
      <w:bookmarkEnd w:id="2"/>
      <w:r w:rsidR="008B668A" w:rsidRPr="009451FB">
        <w:rPr>
          <w:rFonts w:ascii="Arial" w:hAnsi="Arial" w:cs="Arial"/>
          <w:b/>
          <w:bCs/>
          <w:sz w:val="24"/>
          <w:szCs w:val="24"/>
        </w:rPr>
        <w:t xml:space="preserve"> </w:t>
      </w:r>
      <w:r w:rsidR="008B668A" w:rsidRPr="00DC34F9">
        <w:rPr>
          <w:rFonts w:ascii="Arial" w:hAnsi="Arial" w:cs="Arial"/>
          <w:b/>
          <w:bCs/>
          <w:sz w:val="20"/>
          <w:szCs w:val="20"/>
        </w:rPr>
        <w:t>(3)</w:t>
      </w:r>
    </w:p>
    <w:p w14:paraId="34695092" w14:textId="70C2FD9F" w:rsidR="005A078B" w:rsidRPr="009451FB" w:rsidRDefault="005A078B" w:rsidP="009451FB">
      <w:pPr>
        <w:spacing w:line="240" w:lineRule="auto"/>
        <w:jc w:val="both"/>
        <w:rPr>
          <w:rFonts w:ascii="Arial" w:hAnsi="Arial" w:cs="Arial"/>
          <w:sz w:val="24"/>
          <w:szCs w:val="24"/>
        </w:rPr>
      </w:pPr>
      <w:r w:rsidRPr="009451FB">
        <w:rPr>
          <w:rFonts w:ascii="Arial" w:hAnsi="Arial" w:cs="Arial"/>
          <w:sz w:val="24"/>
          <w:szCs w:val="24"/>
        </w:rPr>
        <w:t xml:space="preserve">La Población total de nuestro país según las estimaciones del INDEC para el año 2020 es de </w:t>
      </w:r>
      <w:proofErr w:type="gramStart"/>
      <w:r w:rsidRPr="009451FB">
        <w:rPr>
          <w:rFonts w:ascii="Arial" w:hAnsi="Arial" w:cs="Arial"/>
          <w:sz w:val="24"/>
          <w:szCs w:val="24"/>
        </w:rPr>
        <w:t>45.376.763  personas</w:t>
      </w:r>
      <w:proofErr w:type="gramEnd"/>
      <w:r w:rsidRPr="009451FB">
        <w:rPr>
          <w:rFonts w:ascii="Arial" w:hAnsi="Arial" w:cs="Arial"/>
          <w:sz w:val="24"/>
          <w:szCs w:val="24"/>
        </w:rPr>
        <w:t xml:space="preserve"> de las cuales son varones el 49% 22.273.132</w:t>
      </w:r>
      <w:r w:rsidR="00F833B5" w:rsidRPr="009451FB">
        <w:rPr>
          <w:rFonts w:ascii="Arial" w:hAnsi="Arial" w:cs="Arial"/>
          <w:sz w:val="24"/>
          <w:szCs w:val="24"/>
        </w:rPr>
        <w:t xml:space="preserve"> personas,</w:t>
      </w:r>
      <w:r w:rsidRPr="009451FB">
        <w:rPr>
          <w:rFonts w:ascii="Arial" w:hAnsi="Arial" w:cs="Arial"/>
          <w:sz w:val="24"/>
          <w:szCs w:val="24"/>
        </w:rPr>
        <w:t xml:space="preserve"> y el 51% son mujeres . 23.103.631. Es decir las mujeres somos mayoría, representando 830.499 personas </w:t>
      </w:r>
      <w:proofErr w:type="gramStart"/>
      <w:r w:rsidRPr="009451FB">
        <w:rPr>
          <w:rFonts w:ascii="Arial" w:hAnsi="Arial" w:cs="Arial"/>
          <w:sz w:val="24"/>
          <w:szCs w:val="24"/>
        </w:rPr>
        <w:t>más .</w:t>
      </w:r>
      <w:proofErr w:type="gramEnd"/>
    </w:p>
    <w:p w14:paraId="2A578745" w14:textId="3CCF1E1C" w:rsidR="005A078B" w:rsidRPr="009451FB" w:rsidRDefault="005A078B" w:rsidP="009451FB">
      <w:pPr>
        <w:spacing w:line="240" w:lineRule="auto"/>
        <w:jc w:val="both"/>
        <w:rPr>
          <w:rFonts w:ascii="Arial" w:hAnsi="Arial" w:cs="Arial"/>
          <w:sz w:val="24"/>
          <w:szCs w:val="24"/>
        </w:rPr>
      </w:pPr>
      <w:r w:rsidRPr="009451FB">
        <w:rPr>
          <w:rFonts w:ascii="Arial" w:hAnsi="Arial" w:cs="Arial"/>
          <w:sz w:val="24"/>
          <w:szCs w:val="24"/>
        </w:rPr>
        <w:t>Viendo los rangos etarios los varones de 60 años o más son 3.060.315 y las mujeres 4.070.067, para el año 2030 se estima que las mujeres mayores de 60 años seamos 4.918.620.  Desarrollamos en los puntos siguientes la brecha salarial y previsional de las mujeres y las dificultades para acceder a beneficios previsionales contributivos de este colectivo</w:t>
      </w:r>
      <w:r w:rsidR="00105B31" w:rsidRPr="009451FB">
        <w:rPr>
          <w:rFonts w:ascii="Arial" w:hAnsi="Arial" w:cs="Arial"/>
          <w:sz w:val="24"/>
          <w:szCs w:val="24"/>
        </w:rPr>
        <w:t xml:space="preserve"> que a pesar de ser la mayor fuerza laboral en nuestro país no tiene un correlato en cuanto a sus ingresos</w:t>
      </w:r>
      <w:r w:rsidR="000F72E0" w:rsidRPr="009451FB">
        <w:rPr>
          <w:rFonts w:ascii="Arial" w:hAnsi="Arial" w:cs="Arial"/>
          <w:sz w:val="24"/>
          <w:szCs w:val="24"/>
        </w:rPr>
        <w:t xml:space="preserve"> y derechos</w:t>
      </w:r>
      <w:r w:rsidRPr="009451FB">
        <w:rPr>
          <w:rFonts w:ascii="Arial" w:hAnsi="Arial" w:cs="Arial"/>
          <w:sz w:val="24"/>
          <w:szCs w:val="24"/>
        </w:rPr>
        <w:t>.</w:t>
      </w:r>
    </w:p>
    <w:p w14:paraId="7D41C450" w14:textId="77777777" w:rsidR="005A078B" w:rsidRPr="009451FB" w:rsidRDefault="005A078B" w:rsidP="009451FB">
      <w:pPr>
        <w:spacing w:line="240" w:lineRule="auto"/>
        <w:jc w:val="both"/>
        <w:rPr>
          <w:rFonts w:ascii="Arial" w:hAnsi="Arial" w:cs="Arial"/>
          <w:sz w:val="24"/>
          <w:szCs w:val="24"/>
        </w:rPr>
      </w:pPr>
    </w:p>
    <w:p w14:paraId="7E583A1F" w14:textId="0EFB1861" w:rsidR="00642465" w:rsidRPr="009451FB" w:rsidRDefault="00B6379A" w:rsidP="009451FB">
      <w:pPr>
        <w:spacing w:line="240" w:lineRule="auto"/>
        <w:jc w:val="both"/>
        <w:rPr>
          <w:rFonts w:ascii="Arial" w:hAnsi="Arial" w:cs="Arial"/>
          <w:b/>
          <w:bCs/>
          <w:sz w:val="24"/>
          <w:szCs w:val="24"/>
        </w:rPr>
      </w:pPr>
      <w:r w:rsidRPr="009451FB">
        <w:rPr>
          <w:rFonts w:ascii="Arial" w:hAnsi="Arial" w:cs="Arial"/>
          <w:b/>
          <w:bCs/>
          <w:sz w:val="24"/>
          <w:szCs w:val="24"/>
        </w:rPr>
        <w:t>2.</w:t>
      </w:r>
      <w:r w:rsidR="00983352" w:rsidRPr="009451FB">
        <w:rPr>
          <w:rFonts w:ascii="Arial" w:hAnsi="Arial" w:cs="Arial"/>
          <w:b/>
          <w:bCs/>
          <w:sz w:val="24"/>
          <w:szCs w:val="24"/>
        </w:rPr>
        <w:t>2.</w:t>
      </w:r>
      <w:r w:rsidRPr="009451FB">
        <w:rPr>
          <w:rFonts w:ascii="Arial" w:hAnsi="Arial" w:cs="Arial"/>
          <w:b/>
          <w:bCs/>
          <w:sz w:val="24"/>
          <w:szCs w:val="24"/>
        </w:rPr>
        <w:t xml:space="preserve"> Mercado laboral y brecha de género.</w:t>
      </w:r>
      <w:r w:rsidR="007A76D2">
        <w:rPr>
          <w:rFonts w:ascii="Arial" w:hAnsi="Arial" w:cs="Arial"/>
          <w:b/>
          <w:bCs/>
          <w:sz w:val="24"/>
          <w:szCs w:val="24"/>
        </w:rPr>
        <w:t xml:space="preserve"> </w:t>
      </w:r>
      <w:r w:rsidR="00642465" w:rsidRPr="009451FB">
        <w:rPr>
          <w:rFonts w:ascii="Arial" w:hAnsi="Arial" w:cs="Arial"/>
          <w:b/>
          <w:bCs/>
          <w:sz w:val="24"/>
          <w:szCs w:val="24"/>
        </w:rPr>
        <w:t>Cantidad de aportantes, brecha salarial, actividades feminizadas y masculinizadas, densidad de aportes.</w:t>
      </w:r>
    </w:p>
    <w:p w14:paraId="587D9630" w14:textId="6186D9EE" w:rsidR="009D4A5F" w:rsidRPr="009451FB" w:rsidRDefault="009D4A5F" w:rsidP="009451FB">
      <w:pPr>
        <w:spacing w:line="240" w:lineRule="auto"/>
        <w:jc w:val="both"/>
        <w:rPr>
          <w:rFonts w:ascii="Arial" w:hAnsi="Arial" w:cs="Arial"/>
          <w:sz w:val="24"/>
          <w:szCs w:val="24"/>
        </w:rPr>
      </w:pPr>
      <w:r w:rsidRPr="009451FB">
        <w:rPr>
          <w:rFonts w:ascii="Arial" w:hAnsi="Arial" w:cs="Arial"/>
          <w:sz w:val="24"/>
          <w:szCs w:val="24"/>
        </w:rPr>
        <w:t>Analizando los datos del BESS Boletín Estadístico de la Seguridad Social de Junio de 2020, podemos ver rápidamente los siguientes guarismos</w:t>
      </w:r>
      <w:r w:rsidR="00A774D1" w:rsidRPr="009451FB">
        <w:rPr>
          <w:rFonts w:ascii="Arial" w:hAnsi="Arial" w:cs="Arial"/>
          <w:sz w:val="24"/>
          <w:szCs w:val="24"/>
        </w:rPr>
        <w:t>:</w:t>
      </w:r>
    </w:p>
    <w:p w14:paraId="2C280001" w14:textId="1594DF76" w:rsidR="009D4A5F" w:rsidRPr="009451FB" w:rsidRDefault="009D4A5F" w:rsidP="009451FB">
      <w:pPr>
        <w:spacing w:line="240" w:lineRule="auto"/>
        <w:jc w:val="both"/>
        <w:rPr>
          <w:rFonts w:ascii="Arial" w:hAnsi="Arial" w:cs="Arial"/>
          <w:sz w:val="24"/>
          <w:szCs w:val="24"/>
        </w:rPr>
      </w:pPr>
    </w:p>
    <w:p w14:paraId="0B4D7515" w14:textId="23BD92FE" w:rsidR="009D4A5F" w:rsidRPr="009451FB" w:rsidRDefault="009D4A5F" w:rsidP="009451FB">
      <w:pPr>
        <w:pStyle w:val="Prrafodelista"/>
        <w:numPr>
          <w:ilvl w:val="0"/>
          <w:numId w:val="1"/>
        </w:numPr>
        <w:spacing w:line="240" w:lineRule="auto"/>
        <w:jc w:val="both"/>
        <w:rPr>
          <w:rFonts w:ascii="Arial" w:hAnsi="Arial" w:cs="Arial"/>
          <w:sz w:val="24"/>
          <w:szCs w:val="24"/>
        </w:rPr>
      </w:pPr>
      <w:r w:rsidRPr="009451FB">
        <w:rPr>
          <w:rFonts w:ascii="Arial" w:hAnsi="Arial" w:cs="Arial"/>
          <w:sz w:val="24"/>
          <w:szCs w:val="24"/>
        </w:rPr>
        <w:t xml:space="preserve">Total de aportantes al SIPA 9.136.162 </w:t>
      </w:r>
    </w:p>
    <w:p w14:paraId="3ABCCD13" w14:textId="2B502BC8" w:rsidR="009D4A5F" w:rsidRPr="009451FB" w:rsidRDefault="009D4A5F" w:rsidP="009451FB">
      <w:pPr>
        <w:pStyle w:val="Prrafodelista"/>
        <w:numPr>
          <w:ilvl w:val="1"/>
          <w:numId w:val="1"/>
        </w:numPr>
        <w:spacing w:line="240" w:lineRule="auto"/>
        <w:jc w:val="both"/>
        <w:rPr>
          <w:rFonts w:ascii="Arial" w:hAnsi="Arial" w:cs="Arial"/>
          <w:sz w:val="24"/>
          <w:szCs w:val="24"/>
        </w:rPr>
      </w:pPr>
      <w:r w:rsidRPr="009451FB">
        <w:rPr>
          <w:rFonts w:ascii="Arial" w:hAnsi="Arial" w:cs="Arial"/>
          <w:sz w:val="24"/>
          <w:szCs w:val="24"/>
        </w:rPr>
        <w:t>Varones aportantes : 5.252.457</w:t>
      </w:r>
    </w:p>
    <w:p w14:paraId="3DAC6BCD" w14:textId="1E9C261F" w:rsidR="009D4A5F" w:rsidRPr="009451FB" w:rsidRDefault="009D4A5F" w:rsidP="009451FB">
      <w:pPr>
        <w:pStyle w:val="Prrafodelista"/>
        <w:numPr>
          <w:ilvl w:val="1"/>
          <w:numId w:val="1"/>
        </w:numPr>
        <w:spacing w:line="240" w:lineRule="auto"/>
        <w:jc w:val="both"/>
        <w:rPr>
          <w:rFonts w:ascii="Arial" w:hAnsi="Arial" w:cs="Arial"/>
          <w:sz w:val="24"/>
          <w:szCs w:val="24"/>
        </w:rPr>
      </w:pPr>
      <w:r w:rsidRPr="009451FB">
        <w:rPr>
          <w:rFonts w:ascii="Arial" w:hAnsi="Arial" w:cs="Arial"/>
          <w:sz w:val="24"/>
          <w:szCs w:val="24"/>
        </w:rPr>
        <w:t xml:space="preserve">Mujeres aportantes : 3.587.457 </w:t>
      </w:r>
    </w:p>
    <w:p w14:paraId="676F3AE4" w14:textId="2CFA119A" w:rsidR="009D4A5F" w:rsidRPr="009451FB" w:rsidRDefault="009D4A5F"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Las mujeres aportantes son 1.664.911 menos que los varones, lo que representa un aproximadamente un 18,22% menos </w:t>
      </w:r>
      <w:r w:rsidR="003622DD" w:rsidRPr="009451FB">
        <w:rPr>
          <w:rFonts w:ascii="Arial" w:hAnsi="Arial" w:cs="Arial"/>
          <w:sz w:val="24"/>
          <w:szCs w:val="24"/>
        </w:rPr>
        <w:t xml:space="preserve">respecto del total  Este dato </w:t>
      </w:r>
      <w:r w:rsidR="00F833B5" w:rsidRPr="009451FB">
        <w:rPr>
          <w:rFonts w:ascii="Arial" w:hAnsi="Arial" w:cs="Arial"/>
          <w:sz w:val="24"/>
          <w:szCs w:val="24"/>
        </w:rPr>
        <w:t>está íntimamente relacionado</w:t>
      </w:r>
      <w:r w:rsidR="00A774D1" w:rsidRPr="009451FB">
        <w:rPr>
          <w:rFonts w:ascii="Arial" w:hAnsi="Arial" w:cs="Arial"/>
          <w:sz w:val="24"/>
          <w:szCs w:val="24"/>
        </w:rPr>
        <w:t xml:space="preserve"> </w:t>
      </w:r>
      <w:r w:rsidR="003622DD" w:rsidRPr="009451FB">
        <w:rPr>
          <w:rFonts w:ascii="Arial" w:hAnsi="Arial" w:cs="Arial"/>
          <w:sz w:val="24"/>
          <w:szCs w:val="24"/>
        </w:rPr>
        <w:t xml:space="preserve">con los datos del Indec acerca del desempleo femenino </w:t>
      </w:r>
      <w:r w:rsidR="00BD1A63" w:rsidRPr="009451FB">
        <w:rPr>
          <w:rFonts w:ascii="Arial" w:hAnsi="Arial" w:cs="Arial"/>
          <w:sz w:val="24"/>
          <w:szCs w:val="24"/>
        </w:rPr>
        <w:t>y la asunción de tareas de cuidado no remunerado.</w:t>
      </w:r>
    </w:p>
    <w:p w14:paraId="5EF493C3" w14:textId="3FDCF971" w:rsidR="004B4909" w:rsidRPr="009451FB" w:rsidRDefault="004B4909" w:rsidP="009451FB">
      <w:pPr>
        <w:pStyle w:val="Prrafodelista"/>
        <w:spacing w:line="240" w:lineRule="auto"/>
        <w:jc w:val="both"/>
        <w:rPr>
          <w:rFonts w:ascii="Arial" w:hAnsi="Arial" w:cs="Arial"/>
          <w:sz w:val="24"/>
          <w:szCs w:val="24"/>
        </w:rPr>
      </w:pPr>
    </w:p>
    <w:p w14:paraId="1B5A49E2" w14:textId="5989DE5D"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Desglosando el dato del rango de retribuciones promedio los varones que ganan hasta $ 100.000 son 3.386.843, mientras que las mujeres que ganan más de $ 100.000 son </w:t>
      </w:r>
      <w:proofErr w:type="gramStart"/>
      <w:r w:rsidRPr="009451FB">
        <w:rPr>
          <w:rFonts w:ascii="Arial" w:hAnsi="Arial" w:cs="Arial"/>
          <w:sz w:val="24"/>
          <w:szCs w:val="24"/>
        </w:rPr>
        <w:t>1.931.199 .</w:t>
      </w:r>
      <w:proofErr w:type="gramEnd"/>
      <w:r w:rsidRPr="009451FB">
        <w:rPr>
          <w:rFonts w:ascii="Arial" w:hAnsi="Arial" w:cs="Arial"/>
          <w:sz w:val="24"/>
          <w:szCs w:val="24"/>
        </w:rPr>
        <w:t xml:space="preserve"> Mientras que en las retribuciones más elevadas por encima de $ 100.000</w:t>
      </w:r>
      <w:r w:rsidR="00F833B5" w:rsidRPr="009451FB">
        <w:rPr>
          <w:rFonts w:ascii="Arial" w:hAnsi="Arial" w:cs="Arial"/>
          <w:sz w:val="24"/>
          <w:szCs w:val="24"/>
        </w:rPr>
        <w:t>,</w:t>
      </w:r>
      <w:r w:rsidRPr="009451FB">
        <w:rPr>
          <w:rFonts w:ascii="Arial" w:hAnsi="Arial" w:cs="Arial"/>
          <w:sz w:val="24"/>
          <w:szCs w:val="24"/>
        </w:rPr>
        <w:t xml:space="preserve"> los varones son 505.083 y las mujeres </w:t>
      </w:r>
      <w:proofErr w:type="gramStart"/>
      <w:r w:rsidRPr="009451FB">
        <w:rPr>
          <w:rFonts w:ascii="Arial" w:hAnsi="Arial" w:cs="Arial"/>
          <w:sz w:val="24"/>
          <w:szCs w:val="24"/>
        </w:rPr>
        <w:t>232.120 .</w:t>
      </w:r>
      <w:proofErr w:type="gramEnd"/>
    </w:p>
    <w:p w14:paraId="5C14F798" w14:textId="381AA7CD"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En la retribución promedio general del Sistema se hace manifiesta la inequidad, así como en los gráficos de diversas actividades, en las cuales a pesar de ser las mujeres quienes más trabajan, no igualan en su salario promedio la retribución de los varones.</w:t>
      </w:r>
    </w:p>
    <w:p w14:paraId="71A42BED" w14:textId="423615BD" w:rsidR="004B4909" w:rsidRPr="009451FB" w:rsidRDefault="004B4909" w:rsidP="009451FB">
      <w:pPr>
        <w:pStyle w:val="Prrafodelista"/>
        <w:spacing w:line="240" w:lineRule="auto"/>
        <w:jc w:val="both"/>
        <w:rPr>
          <w:rFonts w:ascii="Arial" w:hAnsi="Arial" w:cs="Arial"/>
          <w:sz w:val="24"/>
          <w:szCs w:val="24"/>
        </w:rPr>
      </w:pPr>
    </w:p>
    <w:p w14:paraId="2FECCA34" w14:textId="2B843D31"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Retribución Promedio de los Varones </w:t>
      </w:r>
      <w:proofErr w:type="gramStart"/>
      <w:r w:rsidRPr="009451FB">
        <w:rPr>
          <w:rFonts w:ascii="Arial" w:hAnsi="Arial" w:cs="Arial"/>
          <w:sz w:val="24"/>
          <w:szCs w:val="24"/>
        </w:rPr>
        <w:t>aportantes :</w:t>
      </w:r>
      <w:proofErr w:type="gramEnd"/>
      <w:r w:rsidRPr="009451FB">
        <w:rPr>
          <w:rFonts w:ascii="Arial" w:hAnsi="Arial" w:cs="Arial"/>
          <w:sz w:val="24"/>
          <w:szCs w:val="24"/>
        </w:rPr>
        <w:t xml:space="preserve"> $ 61.585</w:t>
      </w:r>
    </w:p>
    <w:p w14:paraId="0B2C57DF" w14:textId="244248A4"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Retribución Promedio de las Mujeres </w:t>
      </w:r>
      <w:proofErr w:type="gramStart"/>
      <w:r w:rsidRPr="009451FB">
        <w:rPr>
          <w:rFonts w:ascii="Arial" w:hAnsi="Arial" w:cs="Arial"/>
          <w:sz w:val="24"/>
          <w:szCs w:val="24"/>
        </w:rPr>
        <w:t>aportantes :</w:t>
      </w:r>
      <w:proofErr w:type="gramEnd"/>
      <w:r w:rsidRPr="009451FB">
        <w:rPr>
          <w:rFonts w:ascii="Arial" w:hAnsi="Arial" w:cs="Arial"/>
          <w:sz w:val="24"/>
          <w:szCs w:val="24"/>
        </w:rPr>
        <w:t xml:space="preserve"> $ 54.420</w:t>
      </w:r>
    </w:p>
    <w:p w14:paraId="1DE98D07" w14:textId="2C53C843"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Brecha de Género Promedio en las </w:t>
      </w:r>
      <w:proofErr w:type="gramStart"/>
      <w:r w:rsidRPr="009451FB">
        <w:rPr>
          <w:rFonts w:ascii="Arial" w:hAnsi="Arial" w:cs="Arial"/>
          <w:sz w:val="24"/>
          <w:szCs w:val="24"/>
        </w:rPr>
        <w:t>Retribuciones :</w:t>
      </w:r>
      <w:proofErr w:type="gramEnd"/>
      <w:r w:rsidRPr="009451FB">
        <w:rPr>
          <w:rFonts w:ascii="Arial" w:hAnsi="Arial" w:cs="Arial"/>
          <w:sz w:val="24"/>
          <w:szCs w:val="24"/>
        </w:rPr>
        <w:t xml:space="preserve"> 13,16 % </w:t>
      </w:r>
    </w:p>
    <w:p w14:paraId="4F3B3F17" w14:textId="66491B8D" w:rsidR="004B4909" w:rsidRPr="009451FB" w:rsidRDefault="00F833B5" w:rsidP="009451FB">
      <w:pPr>
        <w:pStyle w:val="Prrafodelista"/>
        <w:spacing w:line="240" w:lineRule="auto"/>
        <w:jc w:val="both"/>
        <w:rPr>
          <w:rFonts w:ascii="Arial" w:hAnsi="Arial" w:cs="Arial"/>
          <w:sz w:val="24"/>
          <w:szCs w:val="24"/>
        </w:rPr>
      </w:pPr>
      <w:r w:rsidRPr="009451FB">
        <w:rPr>
          <w:rFonts w:ascii="Arial" w:hAnsi="Arial" w:cs="Arial"/>
          <w:sz w:val="24"/>
          <w:szCs w:val="24"/>
        </w:rPr>
        <w:t xml:space="preserve">Sin embargo </w:t>
      </w:r>
      <w:r w:rsidR="004B4909" w:rsidRPr="009451FB">
        <w:rPr>
          <w:rFonts w:ascii="Arial" w:hAnsi="Arial" w:cs="Arial"/>
          <w:sz w:val="24"/>
          <w:szCs w:val="24"/>
        </w:rPr>
        <w:t xml:space="preserve">en actividades con gran ocupación de mujeres como la </w:t>
      </w:r>
      <w:proofErr w:type="gramStart"/>
      <w:r w:rsidR="004B4909" w:rsidRPr="009451FB">
        <w:rPr>
          <w:rFonts w:ascii="Arial" w:hAnsi="Arial" w:cs="Arial"/>
          <w:sz w:val="24"/>
          <w:szCs w:val="24"/>
        </w:rPr>
        <w:t>Docencia ,</w:t>
      </w:r>
      <w:proofErr w:type="gramEnd"/>
      <w:r w:rsidR="004B4909" w:rsidRPr="009451FB">
        <w:rPr>
          <w:rFonts w:ascii="Arial" w:hAnsi="Arial" w:cs="Arial"/>
          <w:sz w:val="24"/>
          <w:szCs w:val="24"/>
        </w:rPr>
        <w:t xml:space="preserve"> esta brecha se agranda </w:t>
      </w:r>
      <w:r w:rsidRPr="009451FB">
        <w:rPr>
          <w:rFonts w:ascii="Arial" w:hAnsi="Arial" w:cs="Arial"/>
          <w:sz w:val="24"/>
          <w:szCs w:val="24"/>
        </w:rPr>
        <w:t>notoriamente -</w:t>
      </w:r>
      <w:r w:rsidR="004B4909" w:rsidRPr="009451FB">
        <w:rPr>
          <w:rFonts w:ascii="Arial" w:hAnsi="Arial" w:cs="Arial"/>
          <w:sz w:val="24"/>
          <w:szCs w:val="24"/>
        </w:rPr>
        <w:t xml:space="preserve"> Sector enseñanza privada es del 26,61% , en Servicio</w:t>
      </w:r>
      <w:r w:rsidR="00316A8D" w:rsidRPr="009451FB">
        <w:rPr>
          <w:rFonts w:ascii="Arial" w:hAnsi="Arial" w:cs="Arial"/>
          <w:sz w:val="24"/>
          <w:szCs w:val="24"/>
        </w:rPr>
        <w:t xml:space="preserve">s de Salud y Servicios Sociales es del 62% , alcanzando el 74% en Sector Privado – Servicios Profesionales. Asimismo vemos la ausencia del trabajo femenino en sectores reservados </w:t>
      </w:r>
      <w:r w:rsidRPr="009451FB">
        <w:rPr>
          <w:rFonts w:ascii="Arial" w:hAnsi="Arial" w:cs="Arial"/>
          <w:sz w:val="24"/>
          <w:szCs w:val="24"/>
        </w:rPr>
        <w:t xml:space="preserve">culturalmente </w:t>
      </w:r>
      <w:r w:rsidR="00316A8D" w:rsidRPr="009451FB">
        <w:rPr>
          <w:rFonts w:ascii="Arial" w:hAnsi="Arial" w:cs="Arial"/>
          <w:sz w:val="24"/>
          <w:szCs w:val="24"/>
        </w:rPr>
        <w:t>a los varones: minería, construcción y servicios penitenciarios.</w:t>
      </w:r>
      <w:r w:rsidR="004B4909" w:rsidRPr="009451FB">
        <w:rPr>
          <w:rFonts w:ascii="Arial" w:hAnsi="Arial" w:cs="Arial"/>
          <w:sz w:val="24"/>
          <w:szCs w:val="24"/>
        </w:rPr>
        <w:t xml:space="preserve"> </w:t>
      </w:r>
    </w:p>
    <w:p w14:paraId="4E133110" w14:textId="1DB2DD2C" w:rsidR="004B4909" w:rsidRPr="009451FB" w:rsidRDefault="004B4909" w:rsidP="009451FB">
      <w:pPr>
        <w:pStyle w:val="Prrafodelista"/>
        <w:spacing w:line="240" w:lineRule="auto"/>
        <w:jc w:val="both"/>
        <w:rPr>
          <w:rFonts w:ascii="Arial" w:hAnsi="Arial" w:cs="Arial"/>
          <w:sz w:val="24"/>
          <w:szCs w:val="24"/>
        </w:rPr>
      </w:pPr>
      <w:r w:rsidRPr="009451FB">
        <w:rPr>
          <w:rFonts w:ascii="Arial" w:hAnsi="Arial" w:cs="Arial"/>
          <w:sz w:val="24"/>
          <w:szCs w:val="24"/>
        </w:rPr>
        <w:t>Otro correlato</w:t>
      </w:r>
      <w:r w:rsidR="00316A8D" w:rsidRPr="009451FB">
        <w:rPr>
          <w:rFonts w:ascii="Arial" w:hAnsi="Arial" w:cs="Arial"/>
          <w:sz w:val="24"/>
          <w:szCs w:val="24"/>
        </w:rPr>
        <w:t xml:space="preserve"> a la asignación de funciones domésticas y de cuidado por un esquema patriarcal en las mujeres es la cantidad de Aportantes al Régimen de Casas Particulares Del Total de aportantes de 417.670 personas, sólo son varones 11.406, menos del 10% del total. Es decir aún en el caso del trabajo doméstico remunerado, las mujeres asumen la gran mayoría de estas tareas.</w:t>
      </w:r>
    </w:p>
    <w:p w14:paraId="1F0AAB8B" w14:textId="2CBB919F" w:rsidR="00A33954" w:rsidRPr="009451FB" w:rsidRDefault="00A33954" w:rsidP="009451FB">
      <w:pPr>
        <w:pStyle w:val="Prrafodelista"/>
        <w:spacing w:line="240" w:lineRule="auto"/>
        <w:jc w:val="both"/>
        <w:rPr>
          <w:rFonts w:ascii="Arial" w:hAnsi="Arial" w:cs="Arial"/>
          <w:sz w:val="24"/>
          <w:szCs w:val="24"/>
        </w:rPr>
      </w:pPr>
      <w:r w:rsidRPr="009451FB">
        <w:rPr>
          <w:rFonts w:ascii="Arial" w:hAnsi="Arial" w:cs="Arial"/>
          <w:sz w:val="24"/>
          <w:szCs w:val="24"/>
        </w:rPr>
        <w:t>La comparación de los Salarios Medios de Varones y Mujeres no se agota en el principio laboral y constitucional de “igual remuneración por igual tarea”, sino que se genera en la comparación promedio de masas salariales incididas por menores cargas horarias de trabajo, menor participación de las mujeres en el mercado laboral, salarios más bajos, menor valor horario del salario y mayor informalidad laboral.</w:t>
      </w:r>
    </w:p>
    <w:p w14:paraId="43FC8E38" w14:textId="77777777" w:rsidR="00316A8D" w:rsidRPr="009451FB" w:rsidRDefault="00316A8D" w:rsidP="009451FB">
      <w:pPr>
        <w:pStyle w:val="Prrafodelista"/>
        <w:spacing w:line="240" w:lineRule="auto"/>
        <w:jc w:val="both"/>
        <w:rPr>
          <w:rFonts w:ascii="Arial" w:hAnsi="Arial" w:cs="Arial"/>
          <w:sz w:val="24"/>
          <w:szCs w:val="24"/>
        </w:rPr>
      </w:pPr>
    </w:p>
    <w:p w14:paraId="03D7D7D1" w14:textId="565F54EE" w:rsidR="004B4909" w:rsidRPr="009451FB" w:rsidRDefault="004B4909" w:rsidP="009451FB">
      <w:pPr>
        <w:spacing w:line="240" w:lineRule="auto"/>
        <w:jc w:val="both"/>
        <w:rPr>
          <w:rFonts w:ascii="Arial" w:hAnsi="Arial" w:cs="Arial"/>
          <w:sz w:val="24"/>
          <w:szCs w:val="24"/>
        </w:rPr>
      </w:pPr>
    </w:p>
    <w:p w14:paraId="63F018AE" w14:textId="4C8BECDD" w:rsidR="009D4A5F" w:rsidRPr="009451FB" w:rsidRDefault="00BD756E" w:rsidP="009451FB">
      <w:pPr>
        <w:spacing w:line="240" w:lineRule="auto"/>
        <w:jc w:val="both"/>
        <w:rPr>
          <w:rFonts w:ascii="Arial" w:hAnsi="Arial" w:cs="Arial"/>
          <w:sz w:val="24"/>
          <w:szCs w:val="24"/>
        </w:rPr>
      </w:pPr>
      <w:r w:rsidRPr="009451FB">
        <w:rPr>
          <w:rFonts w:ascii="Arial" w:hAnsi="Arial" w:cs="Arial"/>
          <w:sz w:val="24"/>
          <w:szCs w:val="24"/>
        </w:rPr>
        <w:t>Todos los aportantes. Régimen general y Regímenes especiales.</w:t>
      </w:r>
    </w:p>
    <w:p w14:paraId="649267BE" w14:textId="77777777" w:rsidR="009D4A5F" w:rsidRPr="009451FB" w:rsidRDefault="009D4A5F" w:rsidP="009451FB">
      <w:pPr>
        <w:spacing w:line="240" w:lineRule="auto"/>
        <w:jc w:val="both"/>
        <w:rPr>
          <w:rFonts w:ascii="Arial" w:hAnsi="Arial" w:cs="Arial"/>
          <w:sz w:val="24"/>
          <w:szCs w:val="24"/>
        </w:rPr>
      </w:pPr>
    </w:p>
    <w:p w14:paraId="67BAE8C8" w14:textId="14E5524D" w:rsidR="00090EBE" w:rsidRPr="009451FB" w:rsidRDefault="00090EBE" w:rsidP="009451FB">
      <w:pPr>
        <w:spacing w:line="240" w:lineRule="auto"/>
        <w:jc w:val="both"/>
        <w:rPr>
          <w:rFonts w:ascii="Arial" w:hAnsi="Arial" w:cs="Arial"/>
          <w:sz w:val="24"/>
          <w:szCs w:val="24"/>
        </w:rPr>
      </w:pPr>
      <w:r w:rsidRPr="009451FB">
        <w:rPr>
          <w:rFonts w:ascii="Arial" w:hAnsi="Arial" w:cs="Arial"/>
          <w:noProof/>
          <w:sz w:val="24"/>
          <w:szCs w:val="24"/>
          <w:lang w:eastAsia="es-AR"/>
        </w:rPr>
        <w:lastRenderedPageBreak/>
        <w:drawing>
          <wp:inline distT="0" distB="0" distL="0" distR="0" wp14:anchorId="3C931D41" wp14:editId="351178F7">
            <wp:extent cx="5400040" cy="2739390"/>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00040" cy="2739390"/>
                    </a:xfrm>
                    <a:prstGeom prst="rect">
                      <a:avLst/>
                    </a:prstGeom>
                  </pic:spPr>
                </pic:pic>
              </a:graphicData>
            </a:graphic>
          </wp:inline>
        </w:drawing>
      </w:r>
    </w:p>
    <w:p w14:paraId="5C91A3EB" w14:textId="2F0ABA58" w:rsidR="00090EBE" w:rsidRPr="009451FB" w:rsidRDefault="00090EBE" w:rsidP="009451FB">
      <w:pPr>
        <w:spacing w:line="240" w:lineRule="auto"/>
        <w:jc w:val="both"/>
        <w:rPr>
          <w:rFonts w:ascii="Arial" w:hAnsi="Arial" w:cs="Arial"/>
          <w:sz w:val="24"/>
          <w:szCs w:val="24"/>
        </w:rPr>
      </w:pPr>
    </w:p>
    <w:p w14:paraId="7980EFBE" w14:textId="6E287A31" w:rsidR="00090EBE" w:rsidRPr="009451FB" w:rsidRDefault="00BD756E" w:rsidP="009451FB">
      <w:pPr>
        <w:spacing w:line="240" w:lineRule="auto"/>
        <w:jc w:val="both"/>
        <w:rPr>
          <w:rFonts w:ascii="Arial" w:hAnsi="Arial" w:cs="Arial"/>
          <w:sz w:val="24"/>
          <w:szCs w:val="24"/>
        </w:rPr>
      </w:pPr>
      <w:r w:rsidRPr="009451FB">
        <w:rPr>
          <w:rFonts w:ascii="Arial" w:hAnsi="Arial" w:cs="Arial"/>
          <w:sz w:val="24"/>
          <w:szCs w:val="24"/>
        </w:rPr>
        <w:t>Régimen: Sector Privado Enseñanza</w:t>
      </w:r>
    </w:p>
    <w:p w14:paraId="21E4A6A2" w14:textId="21772241" w:rsidR="00BD756E" w:rsidRPr="009451FB" w:rsidRDefault="00BD756E"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4AD79BA3" wp14:editId="4C7AA9D6">
            <wp:extent cx="3810000" cy="2286000"/>
            <wp:effectExtent l="0" t="0" r="0" b="0"/>
            <wp:docPr id="1" name="Gráfico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269EDDA" w14:textId="0FDC8C79" w:rsidR="00BD756E" w:rsidRPr="009451FB" w:rsidRDefault="00BD756E" w:rsidP="009451FB">
      <w:pPr>
        <w:spacing w:line="240" w:lineRule="auto"/>
        <w:jc w:val="both"/>
        <w:rPr>
          <w:rFonts w:ascii="Arial" w:hAnsi="Arial" w:cs="Arial"/>
          <w:sz w:val="24"/>
          <w:szCs w:val="24"/>
        </w:rPr>
      </w:pPr>
    </w:p>
    <w:p w14:paraId="1B05C24B" w14:textId="7007346B" w:rsidR="00BD756E" w:rsidRPr="009451FB" w:rsidRDefault="00BD756E" w:rsidP="009451FB">
      <w:pPr>
        <w:spacing w:line="240" w:lineRule="auto"/>
        <w:jc w:val="both"/>
        <w:rPr>
          <w:rFonts w:ascii="Arial" w:hAnsi="Arial" w:cs="Arial"/>
          <w:sz w:val="24"/>
          <w:szCs w:val="24"/>
        </w:rPr>
      </w:pPr>
      <w:r w:rsidRPr="009451FB">
        <w:rPr>
          <w:rFonts w:ascii="Arial" w:hAnsi="Arial" w:cs="Arial"/>
          <w:sz w:val="24"/>
          <w:szCs w:val="24"/>
        </w:rPr>
        <w:t xml:space="preserve">Régimen </w:t>
      </w:r>
      <w:proofErr w:type="gramStart"/>
      <w:r w:rsidRPr="009451FB">
        <w:rPr>
          <w:rFonts w:ascii="Arial" w:hAnsi="Arial" w:cs="Arial"/>
          <w:sz w:val="24"/>
          <w:szCs w:val="24"/>
        </w:rPr>
        <w:t>General :</w:t>
      </w:r>
      <w:proofErr w:type="gramEnd"/>
      <w:r w:rsidRPr="009451FB">
        <w:rPr>
          <w:rFonts w:ascii="Arial" w:hAnsi="Arial" w:cs="Arial"/>
          <w:sz w:val="24"/>
          <w:szCs w:val="24"/>
        </w:rPr>
        <w:t xml:space="preserve"> Privado Salud y Servicios Sociales</w:t>
      </w:r>
    </w:p>
    <w:p w14:paraId="5F72EB33" w14:textId="56B5E6F5" w:rsidR="00BD756E" w:rsidRPr="009451FB" w:rsidRDefault="00BD756E" w:rsidP="009451FB">
      <w:pPr>
        <w:spacing w:line="240" w:lineRule="auto"/>
        <w:jc w:val="both"/>
        <w:rPr>
          <w:rFonts w:ascii="Arial" w:hAnsi="Arial" w:cs="Arial"/>
          <w:sz w:val="24"/>
          <w:szCs w:val="24"/>
        </w:rPr>
      </w:pPr>
    </w:p>
    <w:p w14:paraId="1B6A2045" w14:textId="2FDCFBA1" w:rsidR="00BD756E" w:rsidRPr="009451FB" w:rsidRDefault="00BD756E" w:rsidP="009451FB">
      <w:pPr>
        <w:spacing w:line="240" w:lineRule="auto"/>
        <w:jc w:val="both"/>
        <w:rPr>
          <w:rFonts w:ascii="Arial" w:hAnsi="Arial" w:cs="Arial"/>
          <w:sz w:val="24"/>
          <w:szCs w:val="24"/>
        </w:rPr>
      </w:pPr>
      <w:r w:rsidRPr="009451FB">
        <w:rPr>
          <w:rFonts w:ascii="Arial" w:hAnsi="Arial" w:cs="Arial"/>
          <w:noProof/>
          <w:sz w:val="24"/>
          <w:szCs w:val="24"/>
          <w:lang w:eastAsia="es-AR"/>
        </w:rPr>
        <w:lastRenderedPageBreak/>
        <w:drawing>
          <wp:inline distT="0" distB="0" distL="0" distR="0" wp14:anchorId="4BAE1DCA" wp14:editId="71B9A11A">
            <wp:extent cx="3810000" cy="2286000"/>
            <wp:effectExtent l="0" t="0" r="0" b="0"/>
            <wp:docPr id="9" name="Gráfico 9">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B39AAB1" w14:textId="77777777" w:rsidR="00BD756E" w:rsidRPr="009451FB" w:rsidRDefault="00BD756E" w:rsidP="009451FB">
      <w:pPr>
        <w:spacing w:line="240" w:lineRule="auto"/>
        <w:jc w:val="both"/>
        <w:rPr>
          <w:rFonts w:ascii="Arial" w:hAnsi="Arial" w:cs="Arial"/>
          <w:sz w:val="24"/>
          <w:szCs w:val="24"/>
        </w:rPr>
      </w:pPr>
    </w:p>
    <w:p w14:paraId="37700760" w14:textId="630EB362" w:rsidR="00090EBE" w:rsidRPr="009451FB" w:rsidRDefault="00BD756E" w:rsidP="009451FB">
      <w:pPr>
        <w:spacing w:line="240" w:lineRule="auto"/>
        <w:jc w:val="both"/>
        <w:rPr>
          <w:rFonts w:ascii="Arial" w:hAnsi="Arial" w:cs="Arial"/>
          <w:sz w:val="24"/>
          <w:szCs w:val="24"/>
        </w:rPr>
      </w:pPr>
      <w:r w:rsidRPr="009451FB">
        <w:rPr>
          <w:rFonts w:ascii="Arial" w:hAnsi="Arial" w:cs="Arial"/>
          <w:sz w:val="24"/>
          <w:szCs w:val="24"/>
        </w:rPr>
        <w:t>Régimen General Sector Privado: Servicios Profesionales</w:t>
      </w:r>
    </w:p>
    <w:p w14:paraId="1B5E60A3" w14:textId="4604A1D3" w:rsidR="00BD756E" w:rsidRPr="009451FB" w:rsidRDefault="00BD756E"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583DD25D" wp14:editId="56BC2934">
            <wp:extent cx="3810000" cy="2171700"/>
            <wp:effectExtent l="0" t="0" r="0" b="0"/>
            <wp:docPr id="10" name="Gráfico 10">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AC0F2B8" w14:textId="04234BEB" w:rsidR="00BD756E" w:rsidRPr="009451FB" w:rsidRDefault="00BD756E" w:rsidP="009451FB">
      <w:pPr>
        <w:spacing w:line="240" w:lineRule="auto"/>
        <w:jc w:val="both"/>
        <w:rPr>
          <w:rFonts w:ascii="Arial" w:hAnsi="Arial" w:cs="Arial"/>
          <w:sz w:val="24"/>
          <w:szCs w:val="24"/>
        </w:rPr>
      </w:pPr>
    </w:p>
    <w:p w14:paraId="5924171D" w14:textId="370BB7B5" w:rsidR="00BD756E" w:rsidRPr="009451FB" w:rsidRDefault="004C3E9C" w:rsidP="009451FB">
      <w:pPr>
        <w:spacing w:line="240" w:lineRule="auto"/>
        <w:jc w:val="both"/>
        <w:rPr>
          <w:rFonts w:ascii="Arial" w:hAnsi="Arial" w:cs="Arial"/>
          <w:sz w:val="24"/>
          <w:szCs w:val="24"/>
        </w:rPr>
      </w:pPr>
      <w:r w:rsidRPr="009451FB">
        <w:rPr>
          <w:rFonts w:ascii="Arial" w:hAnsi="Arial" w:cs="Arial"/>
          <w:sz w:val="24"/>
          <w:szCs w:val="24"/>
        </w:rPr>
        <w:t xml:space="preserve">Régimen </w:t>
      </w:r>
      <w:proofErr w:type="gramStart"/>
      <w:r w:rsidRPr="009451FB">
        <w:rPr>
          <w:rFonts w:ascii="Arial" w:hAnsi="Arial" w:cs="Arial"/>
          <w:sz w:val="24"/>
          <w:szCs w:val="24"/>
        </w:rPr>
        <w:t>especial :</w:t>
      </w:r>
      <w:proofErr w:type="gramEnd"/>
      <w:r w:rsidRPr="009451FB">
        <w:rPr>
          <w:rFonts w:ascii="Arial" w:hAnsi="Arial" w:cs="Arial"/>
          <w:sz w:val="24"/>
          <w:szCs w:val="24"/>
        </w:rPr>
        <w:t xml:space="preserve"> Yacimiento Carbonífero Río Turbio</w:t>
      </w:r>
    </w:p>
    <w:p w14:paraId="579376D7" w14:textId="50B05E0C" w:rsidR="004C3E9C" w:rsidRPr="009451FB" w:rsidRDefault="004C3E9C"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1914C2AF" wp14:editId="4C7D82A0">
            <wp:extent cx="3810000" cy="2181225"/>
            <wp:effectExtent l="0" t="0" r="0" b="9525"/>
            <wp:docPr id="11" name="Gráfico 1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ED5977D" w14:textId="70EBEEEC" w:rsidR="00090EBE" w:rsidRPr="009451FB" w:rsidRDefault="00090EBE" w:rsidP="009451FB">
      <w:pPr>
        <w:spacing w:line="240" w:lineRule="auto"/>
        <w:jc w:val="both"/>
        <w:rPr>
          <w:rFonts w:ascii="Arial" w:hAnsi="Arial" w:cs="Arial"/>
          <w:sz w:val="24"/>
          <w:szCs w:val="24"/>
        </w:rPr>
      </w:pPr>
    </w:p>
    <w:p w14:paraId="71A59381" w14:textId="7D2CA573" w:rsidR="00090EBE" w:rsidRPr="009451FB" w:rsidRDefault="00090EBE" w:rsidP="009451FB">
      <w:pPr>
        <w:spacing w:line="240" w:lineRule="auto"/>
        <w:jc w:val="both"/>
        <w:rPr>
          <w:rFonts w:ascii="Arial" w:hAnsi="Arial" w:cs="Arial"/>
          <w:sz w:val="24"/>
          <w:szCs w:val="24"/>
        </w:rPr>
      </w:pPr>
    </w:p>
    <w:p w14:paraId="34D43513" w14:textId="2639C10F" w:rsidR="00090EBE" w:rsidRPr="009451FB" w:rsidRDefault="00090EBE" w:rsidP="009451FB">
      <w:pPr>
        <w:spacing w:line="240" w:lineRule="auto"/>
        <w:jc w:val="both"/>
        <w:rPr>
          <w:rFonts w:ascii="Arial" w:hAnsi="Arial" w:cs="Arial"/>
          <w:sz w:val="24"/>
          <w:szCs w:val="24"/>
        </w:rPr>
      </w:pPr>
    </w:p>
    <w:p w14:paraId="1143BC60" w14:textId="1D6B892B" w:rsidR="00090EBE" w:rsidRPr="009451FB" w:rsidRDefault="00090EBE" w:rsidP="009451FB">
      <w:pPr>
        <w:spacing w:line="240" w:lineRule="auto"/>
        <w:jc w:val="both"/>
        <w:rPr>
          <w:rFonts w:ascii="Arial" w:hAnsi="Arial" w:cs="Arial"/>
          <w:sz w:val="24"/>
          <w:szCs w:val="24"/>
        </w:rPr>
      </w:pPr>
    </w:p>
    <w:p w14:paraId="4179EC58" w14:textId="10B01087" w:rsidR="00090EBE" w:rsidRPr="009451FB" w:rsidRDefault="00090EBE" w:rsidP="009451FB">
      <w:pPr>
        <w:spacing w:line="240" w:lineRule="auto"/>
        <w:jc w:val="both"/>
        <w:rPr>
          <w:rFonts w:ascii="Arial" w:hAnsi="Arial" w:cs="Arial"/>
          <w:sz w:val="24"/>
          <w:szCs w:val="24"/>
        </w:rPr>
      </w:pPr>
    </w:p>
    <w:p w14:paraId="73085321" w14:textId="166F07D0" w:rsidR="00090EBE" w:rsidRPr="009451FB" w:rsidRDefault="004C3E9C" w:rsidP="009451FB">
      <w:pPr>
        <w:spacing w:line="240" w:lineRule="auto"/>
        <w:jc w:val="both"/>
        <w:rPr>
          <w:rFonts w:ascii="Arial" w:hAnsi="Arial" w:cs="Arial"/>
          <w:sz w:val="24"/>
          <w:szCs w:val="24"/>
        </w:rPr>
      </w:pPr>
      <w:r w:rsidRPr="009451FB">
        <w:rPr>
          <w:rFonts w:ascii="Arial" w:hAnsi="Arial" w:cs="Arial"/>
          <w:sz w:val="24"/>
          <w:szCs w:val="24"/>
        </w:rPr>
        <w:t>Servicio Penitenciario y Policías Provinciales transferidos</w:t>
      </w:r>
    </w:p>
    <w:p w14:paraId="3C8B80AB" w14:textId="06F26986" w:rsidR="004C3E9C" w:rsidRPr="009451FB" w:rsidRDefault="004C3E9C"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1CC6F88C" wp14:editId="1839D58C">
            <wp:extent cx="3810000" cy="2181225"/>
            <wp:effectExtent l="0" t="0" r="0" b="9525"/>
            <wp:docPr id="12" name="Gráfico 1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4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611B8E99" w14:textId="6879AF01" w:rsidR="00090EBE" w:rsidRPr="009451FB" w:rsidRDefault="00090EBE" w:rsidP="009451FB">
      <w:pPr>
        <w:spacing w:line="240" w:lineRule="auto"/>
        <w:jc w:val="both"/>
        <w:rPr>
          <w:rFonts w:ascii="Arial" w:hAnsi="Arial" w:cs="Arial"/>
          <w:sz w:val="24"/>
          <w:szCs w:val="24"/>
        </w:rPr>
      </w:pPr>
    </w:p>
    <w:p w14:paraId="1F3B96A7" w14:textId="55A83E9D" w:rsidR="00090EBE" w:rsidRPr="009451FB" w:rsidRDefault="00684BC1" w:rsidP="009451FB">
      <w:pPr>
        <w:spacing w:line="240" w:lineRule="auto"/>
        <w:jc w:val="both"/>
        <w:rPr>
          <w:rFonts w:ascii="Arial" w:hAnsi="Arial" w:cs="Arial"/>
          <w:sz w:val="24"/>
          <w:szCs w:val="24"/>
        </w:rPr>
      </w:pPr>
      <w:r w:rsidRPr="009451FB">
        <w:rPr>
          <w:rFonts w:ascii="Arial" w:hAnsi="Arial" w:cs="Arial"/>
          <w:sz w:val="24"/>
          <w:szCs w:val="24"/>
        </w:rPr>
        <w:t xml:space="preserve">Régimen General Sector </w:t>
      </w:r>
      <w:proofErr w:type="gramStart"/>
      <w:r w:rsidRPr="009451FB">
        <w:rPr>
          <w:rFonts w:ascii="Arial" w:hAnsi="Arial" w:cs="Arial"/>
          <w:sz w:val="24"/>
          <w:szCs w:val="24"/>
        </w:rPr>
        <w:t>Privado :</w:t>
      </w:r>
      <w:proofErr w:type="gramEnd"/>
      <w:r w:rsidRPr="009451FB">
        <w:rPr>
          <w:rFonts w:ascii="Arial" w:hAnsi="Arial" w:cs="Arial"/>
          <w:sz w:val="24"/>
          <w:szCs w:val="24"/>
        </w:rPr>
        <w:t xml:space="preserve"> Construcción</w:t>
      </w:r>
    </w:p>
    <w:p w14:paraId="3276E3F4" w14:textId="7413BE9F" w:rsidR="00684BC1" w:rsidRPr="009451FB" w:rsidRDefault="00684BC1"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3484DDF0" wp14:editId="6843038C">
            <wp:extent cx="3810000" cy="2286000"/>
            <wp:effectExtent l="0" t="0" r="0" b="0"/>
            <wp:docPr id="13" name="Gráfico 13">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12781C7" w14:textId="2308229E" w:rsidR="0085560B" w:rsidRPr="009451FB" w:rsidRDefault="0085560B" w:rsidP="009451FB">
      <w:pPr>
        <w:spacing w:line="240" w:lineRule="auto"/>
        <w:jc w:val="both"/>
        <w:rPr>
          <w:rFonts w:ascii="Arial" w:hAnsi="Arial" w:cs="Arial"/>
          <w:sz w:val="24"/>
          <w:szCs w:val="24"/>
        </w:rPr>
      </w:pPr>
    </w:p>
    <w:p w14:paraId="0A24BEF6" w14:textId="201F96DA" w:rsidR="0085560B" w:rsidRPr="00DC34F9" w:rsidRDefault="00B6379A" w:rsidP="009451FB">
      <w:pPr>
        <w:spacing w:line="240" w:lineRule="auto"/>
        <w:jc w:val="both"/>
        <w:rPr>
          <w:rFonts w:ascii="Arial" w:hAnsi="Arial" w:cs="Arial"/>
          <w:sz w:val="20"/>
          <w:szCs w:val="20"/>
        </w:rPr>
      </w:pPr>
      <w:r w:rsidRPr="009451FB">
        <w:rPr>
          <w:rFonts w:ascii="Arial" w:hAnsi="Arial" w:cs="Arial"/>
          <w:b/>
          <w:bCs/>
          <w:sz w:val="24"/>
          <w:szCs w:val="24"/>
        </w:rPr>
        <w:t>2.</w:t>
      </w:r>
      <w:r w:rsidR="00983352" w:rsidRPr="009451FB">
        <w:rPr>
          <w:rFonts w:ascii="Arial" w:hAnsi="Arial" w:cs="Arial"/>
          <w:b/>
          <w:bCs/>
          <w:sz w:val="24"/>
          <w:szCs w:val="24"/>
        </w:rPr>
        <w:t>3</w:t>
      </w:r>
      <w:r w:rsidRPr="009451FB">
        <w:rPr>
          <w:rFonts w:ascii="Arial" w:hAnsi="Arial" w:cs="Arial"/>
          <w:b/>
          <w:bCs/>
          <w:sz w:val="24"/>
          <w:szCs w:val="24"/>
        </w:rPr>
        <w:t xml:space="preserve">. </w:t>
      </w:r>
      <w:r w:rsidR="0085560B" w:rsidRPr="009451FB">
        <w:rPr>
          <w:rFonts w:ascii="Arial" w:hAnsi="Arial" w:cs="Arial"/>
          <w:b/>
          <w:bCs/>
          <w:sz w:val="24"/>
          <w:szCs w:val="24"/>
        </w:rPr>
        <w:t xml:space="preserve">Escala de ingresos e ingreso medio según la Encuesta Permanente de Hogares EPH del </w:t>
      </w:r>
      <w:proofErr w:type="gramStart"/>
      <w:r w:rsidR="0085560B" w:rsidRPr="009451FB">
        <w:rPr>
          <w:rFonts w:ascii="Arial" w:hAnsi="Arial" w:cs="Arial"/>
          <w:b/>
          <w:bCs/>
          <w:sz w:val="24"/>
          <w:szCs w:val="24"/>
        </w:rPr>
        <w:t>Indec ,</w:t>
      </w:r>
      <w:proofErr w:type="gramEnd"/>
      <w:r w:rsidR="0085560B" w:rsidRPr="009451FB">
        <w:rPr>
          <w:rFonts w:ascii="Arial" w:hAnsi="Arial" w:cs="Arial"/>
          <w:b/>
          <w:bCs/>
          <w:sz w:val="24"/>
          <w:szCs w:val="24"/>
        </w:rPr>
        <w:t xml:space="preserve"> segundo Trimestre de 2020</w:t>
      </w:r>
      <w:r w:rsidR="0085560B" w:rsidRPr="00DC34F9">
        <w:rPr>
          <w:rFonts w:ascii="Arial" w:hAnsi="Arial" w:cs="Arial"/>
          <w:sz w:val="20"/>
          <w:szCs w:val="20"/>
        </w:rPr>
        <w:t>.</w:t>
      </w:r>
      <w:r w:rsidR="008B668A" w:rsidRPr="00DC34F9">
        <w:rPr>
          <w:rFonts w:ascii="Arial" w:hAnsi="Arial" w:cs="Arial"/>
          <w:sz w:val="20"/>
          <w:szCs w:val="20"/>
        </w:rPr>
        <w:t>(4)</w:t>
      </w:r>
    </w:p>
    <w:p w14:paraId="12634A19" w14:textId="1A1ACC94" w:rsidR="0085560B" w:rsidRPr="009451FB" w:rsidRDefault="0085560B" w:rsidP="009451FB">
      <w:pPr>
        <w:spacing w:line="240" w:lineRule="auto"/>
        <w:jc w:val="both"/>
        <w:rPr>
          <w:rFonts w:ascii="Arial" w:hAnsi="Arial" w:cs="Arial"/>
          <w:sz w:val="24"/>
          <w:szCs w:val="24"/>
        </w:rPr>
      </w:pPr>
      <w:r w:rsidRPr="009451FB">
        <w:rPr>
          <w:rFonts w:ascii="Arial" w:hAnsi="Arial" w:cs="Arial"/>
          <w:sz w:val="24"/>
          <w:szCs w:val="24"/>
        </w:rPr>
        <w:t>En este relevamiento de 31 conglomerados urbanos</w:t>
      </w:r>
      <w:r w:rsidR="00FE49F6" w:rsidRPr="009451FB">
        <w:rPr>
          <w:rFonts w:ascii="Arial" w:hAnsi="Arial" w:cs="Arial"/>
          <w:sz w:val="24"/>
          <w:szCs w:val="24"/>
        </w:rPr>
        <w:t xml:space="preserve"> que computan ingresos laborales y no laborales,</w:t>
      </w:r>
      <w:r w:rsidRPr="009451FB">
        <w:rPr>
          <w:rFonts w:ascii="Arial" w:hAnsi="Arial" w:cs="Arial"/>
          <w:sz w:val="24"/>
          <w:szCs w:val="24"/>
        </w:rPr>
        <w:t xml:space="preserve"> observamos que la brecha de ingresos medios entre varones $ 32.591 y mujeres $ 25.226 asciende al 29%.</w:t>
      </w:r>
    </w:p>
    <w:p w14:paraId="31C031CB" w14:textId="7914BF58" w:rsidR="0085560B" w:rsidRPr="009451FB" w:rsidRDefault="0085560B" w:rsidP="009451FB">
      <w:pPr>
        <w:spacing w:line="240" w:lineRule="auto"/>
        <w:jc w:val="both"/>
        <w:rPr>
          <w:rFonts w:ascii="Arial" w:hAnsi="Arial" w:cs="Arial"/>
          <w:sz w:val="24"/>
          <w:szCs w:val="24"/>
        </w:rPr>
      </w:pPr>
      <w:r w:rsidRPr="009451FB">
        <w:rPr>
          <w:rFonts w:ascii="Arial" w:hAnsi="Arial" w:cs="Arial"/>
          <w:noProof/>
          <w:sz w:val="24"/>
          <w:szCs w:val="24"/>
          <w:lang w:eastAsia="es-AR"/>
        </w:rPr>
        <w:lastRenderedPageBreak/>
        <w:drawing>
          <wp:inline distT="0" distB="0" distL="0" distR="0" wp14:anchorId="2BFD8E61" wp14:editId="34F9B443">
            <wp:extent cx="5057140" cy="284315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62368" cy="2846094"/>
                    </a:xfrm>
                    <a:prstGeom prst="rect">
                      <a:avLst/>
                    </a:prstGeom>
                  </pic:spPr>
                </pic:pic>
              </a:graphicData>
            </a:graphic>
          </wp:inline>
        </w:drawing>
      </w:r>
    </w:p>
    <w:p w14:paraId="730D8FFB" w14:textId="77777777" w:rsidR="0085560B" w:rsidRPr="009451FB" w:rsidRDefault="0085560B" w:rsidP="009451FB">
      <w:pPr>
        <w:spacing w:line="240" w:lineRule="auto"/>
        <w:jc w:val="both"/>
        <w:rPr>
          <w:rFonts w:ascii="Arial" w:hAnsi="Arial" w:cs="Arial"/>
          <w:sz w:val="24"/>
          <w:szCs w:val="24"/>
        </w:rPr>
      </w:pPr>
    </w:p>
    <w:p w14:paraId="42036C52" w14:textId="29AB9F8E" w:rsidR="003C7646" w:rsidRPr="009451FB" w:rsidRDefault="003C7646" w:rsidP="009451FB">
      <w:pPr>
        <w:spacing w:line="240" w:lineRule="auto"/>
        <w:jc w:val="both"/>
        <w:rPr>
          <w:rFonts w:ascii="Arial" w:hAnsi="Arial" w:cs="Arial"/>
          <w:b/>
          <w:bCs/>
          <w:sz w:val="24"/>
          <w:szCs w:val="24"/>
        </w:rPr>
      </w:pPr>
      <w:r w:rsidRPr="009451FB">
        <w:rPr>
          <w:rFonts w:ascii="Arial" w:hAnsi="Arial" w:cs="Arial"/>
          <w:b/>
          <w:bCs/>
          <w:sz w:val="24"/>
          <w:szCs w:val="24"/>
        </w:rPr>
        <w:t xml:space="preserve">Cuáles son las causas de esta brecha </w:t>
      </w:r>
      <w:proofErr w:type="gramStart"/>
      <w:r w:rsidRPr="009451FB">
        <w:rPr>
          <w:rFonts w:ascii="Arial" w:hAnsi="Arial" w:cs="Arial"/>
          <w:b/>
          <w:bCs/>
          <w:sz w:val="24"/>
          <w:szCs w:val="24"/>
        </w:rPr>
        <w:t>salarial</w:t>
      </w:r>
      <w:r w:rsidR="001563F5" w:rsidRPr="009451FB">
        <w:rPr>
          <w:rFonts w:ascii="Arial" w:hAnsi="Arial" w:cs="Arial"/>
          <w:b/>
          <w:bCs/>
          <w:sz w:val="24"/>
          <w:szCs w:val="24"/>
        </w:rPr>
        <w:t xml:space="preserve"> </w:t>
      </w:r>
      <w:r w:rsidRPr="009451FB">
        <w:rPr>
          <w:rFonts w:ascii="Arial" w:hAnsi="Arial" w:cs="Arial"/>
          <w:b/>
          <w:bCs/>
          <w:sz w:val="24"/>
          <w:szCs w:val="24"/>
        </w:rPr>
        <w:t>?</w:t>
      </w:r>
      <w:proofErr w:type="gramEnd"/>
    </w:p>
    <w:p w14:paraId="043855BC" w14:textId="1186BE10" w:rsidR="003C7646" w:rsidRPr="009451FB" w:rsidRDefault="003C7646" w:rsidP="009451FB">
      <w:pPr>
        <w:spacing w:line="240" w:lineRule="auto"/>
        <w:jc w:val="both"/>
        <w:rPr>
          <w:rFonts w:ascii="Arial" w:hAnsi="Arial" w:cs="Arial"/>
          <w:sz w:val="24"/>
          <w:szCs w:val="24"/>
        </w:rPr>
      </w:pPr>
      <w:r w:rsidRPr="009451FB">
        <w:rPr>
          <w:rFonts w:ascii="Arial" w:hAnsi="Arial" w:cs="Arial"/>
          <w:sz w:val="24"/>
          <w:szCs w:val="24"/>
        </w:rPr>
        <w:t>1</w:t>
      </w:r>
      <w:r w:rsidR="001563F5" w:rsidRPr="009451FB">
        <w:rPr>
          <w:rFonts w:ascii="Arial" w:hAnsi="Arial" w:cs="Arial"/>
          <w:sz w:val="24"/>
          <w:szCs w:val="24"/>
        </w:rPr>
        <w:t>.</w:t>
      </w:r>
      <w:r w:rsidRPr="009451FB">
        <w:rPr>
          <w:rFonts w:ascii="Arial" w:hAnsi="Arial" w:cs="Arial"/>
          <w:sz w:val="24"/>
          <w:szCs w:val="24"/>
        </w:rPr>
        <w:t xml:space="preserve"> Menor cantidad de horas trabajadas, por la asunción de tareas domésticas o de cuidado</w:t>
      </w:r>
      <w:r w:rsidR="00DE4DBE" w:rsidRPr="009451FB">
        <w:rPr>
          <w:rFonts w:ascii="Arial" w:hAnsi="Arial" w:cs="Arial"/>
          <w:sz w:val="24"/>
          <w:szCs w:val="24"/>
        </w:rPr>
        <w:t xml:space="preserve"> no remuneradas.</w:t>
      </w:r>
    </w:p>
    <w:p w14:paraId="153F88E3" w14:textId="2CC5763F" w:rsidR="003C7646" w:rsidRPr="009451FB" w:rsidRDefault="003C7646" w:rsidP="009451FB">
      <w:pPr>
        <w:spacing w:line="240" w:lineRule="auto"/>
        <w:jc w:val="both"/>
        <w:rPr>
          <w:rFonts w:ascii="Arial" w:hAnsi="Arial" w:cs="Arial"/>
          <w:sz w:val="24"/>
          <w:szCs w:val="24"/>
        </w:rPr>
      </w:pPr>
      <w:r w:rsidRPr="009451FB">
        <w:rPr>
          <w:rFonts w:ascii="Arial" w:hAnsi="Arial" w:cs="Arial"/>
          <w:sz w:val="24"/>
          <w:szCs w:val="24"/>
        </w:rPr>
        <w:t>2. Mayor informalidad en el empleo femenino. Traba</w:t>
      </w:r>
      <w:r w:rsidR="00DE4DBE" w:rsidRPr="009451FB">
        <w:rPr>
          <w:rFonts w:ascii="Arial" w:hAnsi="Arial" w:cs="Arial"/>
          <w:sz w:val="24"/>
          <w:szCs w:val="24"/>
        </w:rPr>
        <w:t>jos domésticos y de cuidado feminizados “valen menos”.</w:t>
      </w:r>
    </w:p>
    <w:p w14:paraId="44D6A5C0" w14:textId="62F92398" w:rsidR="00DE4DBE" w:rsidRPr="009451FB" w:rsidRDefault="00DE4DBE" w:rsidP="009451FB">
      <w:pPr>
        <w:spacing w:line="240" w:lineRule="auto"/>
        <w:jc w:val="both"/>
        <w:rPr>
          <w:rFonts w:ascii="Arial" w:hAnsi="Arial" w:cs="Arial"/>
          <w:sz w:val="24"/>
          <w:szCs w:val="24"/>
        </w:rPr>
      </w:pPr>
      <w:r w:rsidRPr="009451FB">
        <w:rPr>
          <w:rFonts w:ascii="Arial" w:hAnsi="Arial" w:cs="Arial"/>
          <w:sz w:val="24"/>
          <w:szCs w:val="24"/>
        </w:rPr>
        <w:t>3. Menor valor horario promedio de la hora trabajada.</w:t>
      </w:r>
    </w:p>
    <w:p w14:paraId="0AD76DA4" w14:textId="7896476B" w:rsidR="00DE4DBE" w:rsidRPr="009451FB" w:rsidRDefault="00DE4DBE" w:rsidP="009451FB">
      <w:pPr>
        <w:spacing w:line="240" w:lineRule="auto"/>
        <w:jc w:val="both"/>
        <w:rPr>
          <w:rFonts w:ascii="Arial" w:hAnsi="Arial" w:cs="Arial"/>
          <w:sz w:val="24"/>
          <w:szCs w:val="24"/>
        </w:rPr>
      </w:pPr>
      <w:r w:rsidRPr="009451FB">
        <w:rPr>
          <w:rFonts w:ascii="Arial" w:hAnsi="Arial" w:cs="Arial"/>
          <w:sz w:val="24"/>
          <w:szCs w:val="24"/>
        </w:rPr>
        <w:t xml:space="preserve">4. El techo de </w:t>
      </w:r>
      <w:r w:rsidR="00087DB2" w:rsidRPr="009451FB">
        <w:rPr>
          <w:rFonts w:ascii="Arial" w:hAnsi="Arial" w:cs="Arial"/>
          <w:sz w:val="24"/>
          <w:szCs w:val="24"/>
        </w:rPr>
        <w:t xml:space="preserve">cemento, pisos pegajosos y paredes de cristal. </w:t>
      </w:r>
      <w:r w:rsidRPr="009451FB">
        <w:rPr>
          <w:rFonts w:ascii="Arial" w:hAnsi="Arial" w:cs="Arial"/>
          <w:sz w:val="24"/>
          <w:szCs w:val="24"/>
        </w:rPr>
        <w:t>Mayor acceso de valores a puestos de Dirección en comparación a las mujeres.</w:t>
      </w:r>
    </w:p>
    <w:p w14:paraId="4C3DC988" w14:textId="72578E7D" w:rsidR="00DE4DBE" w:rsidRPr="009451FB" w:rsidRDefault="00DE4DBE" w:rsidP="009451FB">
      <w:pPr>
        <w:spacing w:line="240" w:lineRule="auto"/>
        <w:jc w:val="both"/>
        <w:rPr>
          <w:rFonts w:ascii="Arial" w:hAnsi="Arial" w:cs="Arial"/>
          <w:sz w:val="24"/>
          <w:szCs w:val="24"/>
        </w:rPr>
      </w:pPr>
      <w:r w:rsidRPr="009451FB">
        <w:rPr>
          <w:rFonts w:ascii="Arial" w:hAnsi="Arial" w:cs="Arial"/>
          <w:sz w:val="24"/>
          <w:szCs w:val="24"/>
        </w:rPr>
        <w:t>5. Desempleo femenino</w:t>
      </w:r>
      <w:r w:rsidR="00F833B5" w:rsidRPr="009451FB">
        <w:rPr>
          <w:rFonts w:ascii="Arial" w:hAnsi="Arial" w:cs="Arial"/>
          <w:sz w:val="24"/>
          <w:szCs w:val="24"/>
        </w:rPr>
        <w:t>.</w:t>
      </w:r>
    </w:p>
    <w:p w14:paraId="2402440D" w14:textId="05F97D45" w:rsidR="00F66521" w:rsidRPr="009451FB" w:rsidRDefault="00F66521" w:rsidP="009451FB">
      <w:pPr>
        <w:spacing w:line="240" w:lineRule="auto"/>
        <w:jc w:val="both"/>
        <w:rPr>
          <w:rFonts w:ascii="Arial" w:hAnsi="Arial" w:cs="Arial"/>
          <w:sz w:val="24"/>
          <w:szCs w:val="24"/>
        </w:rPr>
      </w:pPr>
    </w:p>
    <w:p w14:paraId="15A51F26" w14:textId="764D4238" w:rsidR="00090EBE" w:rsidRPr="009451FB" w:rsidRDefault="00B6379A" w:rsidP="009451FB">
      <w:pPr>
        <w:spacing w:line="240" w:lineRule="auto"/>
        <w:jc w:val="both"/>
        <w:rPr>
          <w:rFonts w:ascii="Arial" w:hAnsi="Arial" w:cs="Arial"/>
          <w:b/>
          <w:bCs/>
          <w:sz w:val="24"/>
          <w:szCs w:val="24"/>
        </w:rPr>
      </w:pPr>
      <w:bookmarkStart w:id="3" w:name="_Hlk54269980"/>
      <w:r w:rsidRPr="009451FB">
        <w:rPr>
          <w:rFonts w:ascii="Arial" w:hAnsi="Arial" w:cs="Arial"/>
          <w:b/>
          <w:bCs/>
          <w:sz w:val="24"/>
          <w:szCs w:val="24"/>
        </w:rPr>
        <w:t>2.</w:t>
      </w:r>
      <w:r w:rsidR="001563F5" w:rsidRPr="009451FB">
        <w:rPr>
          <w:rFonts w:ascii="Arial" w:hAnsi="Arial" w:cs="Arial"/>
          <w:b/>
          <w:bCs/>
          <w:sz w:val="24"/>
          <w:szCs w:val="24"/>
        </w:rPr>
        <w:t>4</w:t>
      </w:r>
      <w:r w:rsidRPr="009451FB">
        <w:rPr>
          <w:rFonts w:ascii="Arial" w:hAnsi="Arial" w:cs="Arial"/>
          <w:b/>
          <w:bCs/>
          <w:sz w:val="24"/>
          <w:szCs w:val="24"/>
        </w:rPr>
        <w:t>.</w:t>
      </w:r>
      <w:r w:rsidR="001563F5" w:rsidRPr="009451FB">
        <w:rPr>
          <w:rFonts w:ascii="Arial" w:hAnsi="Arial" w:cs="Arial"/>
          <w:b/>
          <w:bCs/>
          <w:sz w:val="24"/>
          <w:szCs w:val="24"/>
        </w:rPr>
        <w:t xml:space="preserve"> </w:t>
      </w:r>
      <w:r w:rsidR="005F305B" w:rsidRPr="009451FB">
        <w:rPr>
          <w:rFonts w:ascii="Arial" w:hAnsi="Arial" w:cs="Arial"/>
          <w:b/>
          <w:bCs/>
          <w:sz w:val="24"/>
          <w:szCs w:val="24"/>
        </w:rPr>
        <w:t>Densidad</w:t>
      </w:r>
      <w:r w:rsidR="001563F5" w:rsidRPr="009451FB">
        <w:rPr>
          <w:rFonts w:ascii="Arial" w:hAnsi="Arial" w:cs="Arial"/>
          <w:b/>
          <w:bCs/>
          <w:sz w:val="24"/>
          <w:szCs w:val="24"/>
        </w:rPr>
        <w:t xml:space="preserve"> </w:t>
      </w:r>
      <w:r w:rsidR="005F305B" w:rsidRPr="009451FB">
        <w:rPr>
          <w:rFonts w:ascii="Arial" w:hAnsi="Arial" w:cs="Arial"/>
          <w:b/>
          <w:bCs/>
          <w:sz w:val="24"/>
          <w:szCs w:val="24"/>
        </w:rPr>
        <w:t xml:space="preserve"> de aportes </w:t>
      </w:r>
      <w:r w:rsidR="00CD02A8" w:rsidRPr="00DC34F9">
        <w:rPr>
          <w:rFonts w:ascii="Arial" w:hAnsi="Arial" w:cs="Arial"/>
          <w:b/>
          <w:bCs/>
          <w:sz w:val="20"/>
          <w:szCs w:val="20"/>
        </w:rPr>
        <w:t>(2)</w:t>
      </w:r>
      <w:r w:rsidR="005F305B" w:rsidRPr="009451FB">
        <w:rPr>
          <w:rFonts w:ascii="Arial" w:hAnsi="Arial" w:cs="Arial"/>
          <w:b/>
          <w:bCs/>
          <w:sz w:val="24"/>
          <w:szCs w:val="24"/>
        </w:rPr>
        <w:t xml:space="preserve"> </w:t>
      </w:r>
    </w:p>
    <w:bookmarkEnd w:id="3"/>
    <w:p w14:paraId="23A2922D" w14:textId="6B2E6EA9" w:rsidR="005F305B" w:rsidRPr="009451FB" w:rsidRDefault="005F305B" w:rsidP="009451FB">
      <w:pPr>
        <w:spacing w:line="240" w:lineRule="auto"/>
        <w:jc w:val="both"/>
        <w:rPr>
          <w:rFonts w:ascii="Arial" w:hAnsi="Arial" w:cs="Arial"/>
          <w:sz w:val="24"/>
          <w:szCs w:val="24"/>
        </w:rPr>
      </w:pPr>
      <w:r w:rsidRPr="009451FB">
        <w:rPr>
          <w:rFonts w:ascii="Arial" w:hAnsi="Arial" w:cs="Arial"/>
          <w:sz w:val="24"/>
          <w:szCs w:val="24"/>
        </w:rPr>
        <w:t xml:space="preserve">La mayor informalidad laboral femenina, la intermitencia del trabajo femenino afectado por la maternidad y </w:t>
      </w:r>
      <w:r w:rsidR="00F833B5" w:rsidRPr="009451FB">
        <w:rPr>
          <w:rFonts w:ascii="Arial" w:hAnsi="Arial" w:cs="Arial"/>
          <w:sz w:val="24"/>
          <w:szCs w:val="24"/>
        </w:rPr>
        <w:t>el aceptar</w:t>
      </w:r>
      <w:r w:rsidRPr="009451FB">
        <w:rPr>
          <w:rFonts w:ascii="Arial" w:hAnsi="Arial" w:cs="Arial"/>
          <w:sz w:val="24"/>
          <w:szCs w:val="24"/>
        </w:rPr>
        <w:t xml:space="preserve"> trabajos de menor carga horaria para afrontar tareas de cuidado unido a una mayor desocupación femenina más la brecha salarial de género, nos lleva a una baja densidad de aportes en las mujeres en comparación con los varones. Qué significa esto en términos prácticos que a la hora de jubilarse no contarán con los aportes mínimos para acceder al beneficio previsional. Mientras que los varones de 50 años o más, el 31% de ellos cuentan con 10 años o más de aportes, para las mujeres este porcentaje baja al 19%.</w:t>
      </w:r>
    </w:p>
    <w:p w14:paraId="3EA62088" w14:textId="2F1A67E4" w:rsidR="005F305B" w:rsidRPr="009451FB" w:rsidRDefault="005F305B" w:rsidP="009451FB">
      <w:pPr>
        <w:spacing w:line="240" w:lineRule="auto"/>
        <w:jc w:val="both"/>
        <w:rPr>
          <w:rFonts w:ascii="Arial" w:hAnsi="Arial" w:cs="Arial"/>
          <w:sz w:val="24"/>
          <w:szCs w:val="24"/>
        </w:rPr>
      </w:pPr>
    </w:p>
    <w:p w14:paraId="2310573E" w14:textId="44EFAEF4" w:rsidR="00D42679" w:rsidRPr="009451FB" w:rsidRDefault="00D42679" w:rsidP="009451FB">
      <w:pPr>
        <w:spacing w:line="240" w:lineRule="auto"/>
        <w:jc w:val="both"/>
        <w:rPr>
          <w:rFonts w:ascii="Arial" w:hAnsi="Arial" w:cs="Arial"/>
          <w:sz w:val="24"/>
          <w:szCs w:val="24"/>
        </w:rPr>
      </w:pPr>
    </w:p>
    <w:p w14:paraId="3A17A0C8" w14:textId="377FDFD7" w:rsidR="00D42679" w:rsidRPr="009451FB" w:rsidRDefault="00D42679" w:rsidP="009451FB">
      <w:pPr>
        <w:spacing w:line="240" w:lineRule="auto"/>
        <w:jc w:val="both"/>
        <w:rPr>
          <w:rFonts w:ascii="Arial" w:hAnsi="Arial" w:cs="Arial"/>
          <w:sz w:val="24"/>
          <w:szCs w:val="24"/>
        </w:rPr>
      </w:pPr>
    </w:p>
    <w:p w14:paraId="3FBB0403" w14:textId="0495B6D1" w:rsidR="00D42679" w:rsidRPr="009451FB" w:rsidRDefault="00D42679" w:rsidP="009451FB">
      <w:pPr>
        <w:spacing w:line="240" w:lineRule="auto"/>
        <w:jc w:val="both"/>
        <w:rPr>
          <w:rFonts w:ascii="Arial" w:hAnsi="Arial" w:cs="Arial"/>
          <w:sz w:val="24"/>
          <w:szCs w:val="24"/>
        </w:rPr>
      </w:pPr>
    </w:p>
    <w:p w14:paraId="7E932D97" w14:textId="77777777" w:rsidR="00D42679" w:rsidRPr="009451FB" w:rsidRDefault="00D42679" w:rsidP="009451FB">
      <w:pPr>
        <w:spacing w:line="240" w:lineRule="auto"/>
        <w:jc w:val="both"/>
        <w:rPr>
          <w:rFonts w:ascii="Arial" w:hAnsi="Arial" w:cs="Arial"/>
          <w:sz w:val="24"/>
          <w:szCs w:val="24"/>
        </w:rPr>
      </w:pPr>
    </w:p>
    <w:p w14:paraId="19E5DDFA" w14:textId="77777777" w:rsidR="005F305B" w:rsidRPr="009451FB" w:rsidRDefault="005F305B" w:rsidP="009451FB">
      <w:pPr>
        <w:spacing w:line="240" w:lineRule="auto"/>
        <w:jc w:val="both"/>
        <w:rPr>
          <w:rFonts w:ascii="Arial" w:hAnsi="Arial" w:cs="Arial"/>
          <w:sz w:val="24"/>
          <w:szCs w:val="24"/>
        </w:rPr>
      </w:pPr>
    </w:p>
    <w:tbl>
      <w:tblPr>
        <w:tblW w:w="5579" w:type="dxa"/>
        <w:tblCellMar>
          <w:left w:w="70" w:type="dxa"/>
          <w:right w:w="70" w:type="dxa"/>
        </w:tblCellMar>
        <w:tblLook w:val="04A0" w:firstRow="1" w:lastRow="0" w:firstColumn="1" w:lastColumn="0" w:noHBand="0" w:noVBand="1"/>
      </w:tblPr>
      <w:tblGrid>
        <w:gridCol w:w="2094"/>
        <w:gridCol w:w="207"/>
        <w:gridCol w:w="1823"/>
        <w:gridCol w:w="1480"/>
      </w:tblGrid>
      <w:tr w:rsidR="005F305B" w:rsidRPr="009451FB" w14:paraId="5BA49F2C" w14:textId="77777777" w:rsidTr="005F305B">
        <w:trPr>
          <w:trHeight w:val="255"/>
        </w:trPr>
        <w:tc>
          <w:tcPr>
            <w:tcW w:w="4099" w:type="dxa"/>
            <w:gridSpan w:val="3"/>
            <w:tcBorders>
              <w:top w:val="nil"/>
              <w:left w:val="nil"/>
              <w:bottom w:val="nil"/>
              <w:right w:val="nil"/>
            </w:tcBorders>
            <w:shd w:val="clear" w:color="auto" w:fill="auto"/>
            <w:noWrap/>
            <w:vAlign w:val="bottom"/>
            <w:hideMark/>
          </w:tcPr>
          <w:p w14:paraId="376E7855" w14:textId="089B9E84" w:rsidR="005F305B" w:rsidRPr="009451FB" w:rsidRDefault="005F305B"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 xml:space="preserve">DENSIDAD DE APORTES </w:t>
            </w:r>
            <w:r w:rsidR="00257EE6" w:rsidRPr="009451FB">
              <w:rPr>
                <w:rFonts w:ascii="Arial" w:eastAsia="Times New Roman" w:hAnsi="Arial" w:cs="Arial"/>
                <w:b/>
                <w:bCs/>
                <w:sz w:val="24"/>
                <w:szCs w:val="24"/>
                <w:lang w:eastAsia="es-AR"/>
              </w:rPr>
              <w:t>PREVISIONALES:</w:t>
            </w:r>
          </w:p>
        </w:tc>
        <w:tc>
          <w:tcPr>
            <w:tcW w:w="1480" w:type="dxa"/>
            <w:tcBorders>
              <w:top w:val="nil"/>
              <w:left w:val="nil"/>
              <w:bottom w:val="nil"/>
              <w:right w:val="nil"/>
            </w:tcBorders>
            <w:shd w:val="clear" w:color="auto" w:fill="auto"/>
            <w:noWrap/>
            <w:vAlign w:val="bottom"/>
            <w:hideMark/>
          </w:tcPr>
          <w:p w14:paraId="240B2C06" w14:textId="77777777" w:rsidR="005F305B" w:rsidRPr="009451FB" w:rsidRDefault="005F305B" w:rsidP="009451FB">
            <w:pPr>
              <w:spacing w:after="0" w:line="240" w:lineRule="auto"/>
              <w:jc w:val="both"/>
              <w:rPr>
                <w:rFonts w:ascii="Arial" w:eastAsia="Times New Roman" w:hAnsi="Arial" w:cs="Arial"/>
                <w:b/>
                <w:bCs/>
                <w:sz w:val="24"/>
                <w:szCs w:val="24"/>
                <w:lang w:eastAsia="es-AR"/>
              </w:rPr>
            </w:pPr>
          </w:p>
        </w:tc>
      </w:tr>
      <w:tr w:rsidR="005F305B" w:rsidRPr="009451FB" w14:paraId="5D8FF286" w14:textId="77777777" w:rsidTr="005F305B">
        <w:trPr>
          <w:trHeight w:val="255"/>
        </w:trPr>
        <w:tc>
          <w:tcPr>
            <w:tcW w:w="2094" w:type="dxa"/>
            <w:tcBorders>
              <w:top w:val="nil"/>
              <w:left w:val="nil"/>
              <w:bottom w:val="nil"/>
              <w:right w:val="nil"/>
            </w:tcBorders>
            <w:shd w:val="clear" w:color="auto" w:fill="auto"/>
            <w:noWrap/>
            <w:vAlign w:val="bottom"/>
            <w:hideMark/>
          </w:tcPr>
          <w:p w14:paraId="557B2F47"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 w:type="dxa"/>
            <w:tcBorders>
              <w:top w:val="nil"/>
              <w:left w:val="nil"/>
              <w:bottom w:val="nil"/>
              <w:right w:val="nil"/>
            </w:tcBorders>
            <w:shd w:val="clear" w:color="auto" w:fill="auto"/>
            <w:noWrap/>
            <w:vAlign w:val="bottom"/>
            <w:hideMark/>
          </w:tcPr>
          <w:p w14:paraId="71D19DE4"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3" w:type="dxa"/>
            <w:tcBorders>
              <w:top w:val="nil"/>
              <w:left w:val="nil"/>
              <w:bottom w:val="nil"/>
              <w:right w:val="nil"/>
            </w:tcBorders>
            <w:shd w:val="clear" w:color="auto" w:fill="auto"/>
            <w:noWrap/>
            <w:vAlign w:val="bottom"/>
            <w:hideMark/>
          </w:tcPr>
          <w:p w14:paraId="11A331A3"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480" w:type="dxa"/>
            <w:tcBorders>
              <w:top w:val="nil"/>
              <w:left w:val="nil"/>
              <w:bottom w:val="nil"/>
              <w:right w:val="nil"/>
            </w:tcBorders>
            <w:shd w:val="clear" w:color="auto" w:fill="auto"/>
            <w:noWrap/>
            <w:vAlign w:val="bottom"/>
            <w:hideMark/>
          </w:tcPr>
          <w:p w14:paraId="3CB3ECCB"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r>
      <w:tr w:rsidR="005F305B" w:rsidRPr="009451FB" w14:paraId="0E810CD5" w14:textId="77777777" w:rsidTr="005F305B">
        <w:trPr>
          <w:trHeight w:val="255"/>
        </w:trPr>
        <w:tc>
          <w:tcPr>
            <w:tcW w:w="2094" w:type="dxa"/>
            <w:tcBorders>
              <w:top w:val="single" w:sz="4" w:space="0" w:color="auto"/>
              <w:left w:val="single" w:sz="4" w:space="0" w:color="auto"/>
              <w:bottom w:val="single" w:sz="4" w:space="0" w:color="auto"/>
              <w:right w:val="nil"/>
            </w:tcBorders>
            <w:shd w:val="clear" w:color="auto" w:fill="auto"/>
            <w:noWrap/>
            <w:vAlign w:val="bottom"/>
            <w:hideMark/>
          </w:tcPr>
          <w:p w14:paraId="7657E32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EDAD</w:t>
            </w:r>
          </w:p>
        </w:tc>
        <w:tc>
          <w:tcPr>
            <w:tcW w:w="182" w:type="dxa"/>
            <w:tcBorders>
              <w:top w:val="single" w:sz="4" w:space="0" w:color="auto"/>
              <w:left w:val="nil"/>
              <w:bottom w:val="single" w:sz="4" w:space="0" w:color="auto"/>
              <w:right w:val="single" w:sz="4" w:space="0" w:color="auto"/>
            </w:tcBorders>
            <w:shd w:val="clear" w:color="auto" w:fill="auto"/>
            <w:noWrap/>
            <w:vAlign w:val="bottom"/>
            <w:hideMark/>
          </w:tcPr>
          <w:p w14:paraId="24B265A0"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single" w:sz="4" w:space="0" w:color="auto"/>
              <w:left w:val="nil"/>
              <w:bottom w:val="single" w:sz="4" w:space="0" w:color="auto"/>
              <w:right w:val="single" w:sz="4" w:space="0" w:color="auto"/>
            </w:tcBorders>
            <w:shd w:val="clear" w:color="auto" w:fill="auto"/>
            <w:noWrap/>
            <w:vAlign w:val="bottom"/>
            <w:hideMark/>
          </w:tcPr>
          <w:p w14:paraId="6AF17AC5"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VARONES</w:t>
            </w:r>
          </w:p>
        </w:tc>
        <w:tc>
          <w:tcPr>
            <w:tcW w:w="1480" w:type="dxa"/>
            <w:tcBorders>
              <w:top w:val="single" w:sz="4" w:space="0" w:color="auto"/>
              <w:left w:val="nil"/>
              <w:bottom w:val="single" w:sz="4" w:space="0" w:color="auto"/>
              <w:right w:val="single" w:sz="4" w:space="0" w:color="auto"/>
            </w:tcBorders>
            <w:shd w:val="clear" w:color="auto" w:fill="auto"/>
            <w:noWrap/>
            <w:vAlign w:val="bottom"/>
            <w:hideMark/>
          </w:tcPr>
          <w:p w14:paraId="4CFFDAFD"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MUJERES</w:t>
            </w:r>
          </w:p>
        </w:tc>
      </w:tr>
      <w:tr w:rsidR="005F305B" w:rsidRPr="009451FB" w14:paraId="62C0F6F0" w14:textId="77777777" w:rsidTr="005F305B">
        <w:trPr>
          <w:trHeight w:val="255"/>
        </w:trPr>
        <w:tc>
          <w:tcPr>
            <w:tcW w:w="2094" w:type="dxa"/>
            <w:tcBorders>
              <w:top w:val="nil"/>
              <w:left w:val="single" w:sz="4" w:space="0" w:color="auto"/>
              <w:bottom w:val="nil"/>
              <w:right w:val="nil"/>
            </w:tcBorders>
            <w:shd w:val="clear" w:color="auto" w:fill="auto"/>
            <w:noWrap/>
            <w:vAlign w:val="bottom"/>
            <w:hideMark/>
          </w:tcPr>
          <w:p w14:paraId="07D5F09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 w:type="dxa"/>
            <w:tcBorders>
              <w:top w:val="nil"/>
              <w:left w:val="nil"/>
              <w:bottom w:val="nil"/>
              <w:right w:val="single" w:sz="4" w:space="0" w:color="auto"/>
            </w:tcBorders>
            <w:shd w:val="clear" w:color="auto" w:fill="auto"/>
            <w:noWrap/>
            <w:vAlign w:val="bottom"/>
            <w:hideMark/>
          </w:tcPr>
          <w:p w14:paraId="357BA6F3"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nil"/>
              <w:left w:val="nil"/>
              <w:bottom w:val="nil"/>
              <w:right w:val="single" w:sz="4" w:space="0" w:color="auto"/>
            </w:tcBorders>
            <w:shd w:val="clear" w:color="auto" w:fill="auto"/>
            <w:noWrap/>
            <w:vAlign w:val="bottom"/>
            <w:hideMark/>
          </w:tcPr>
          <w:p w14:paraId="63C086CD"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480" w:type="dxa"/>
            <w:tcBorders>
              <w:top w:val="nil"/>
              <w:left w:val="nil"/>
              <w:bottom w:val="nil"/>
              <w:right w:val="single" w:sz="4" w:space="0" w:color="auto"/>
            </w:tcBorders>
            <w:shd w:val="clear" w:color="auto" w:fill="auto"/>
            <w:noWrap/>
            <w:vAlign w:val="bottom"/>
            <w:hideMark/>
          </w:tcPr>
          <w:p w14:paraId="6C004E19"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5F305B" w:rsidRPr="009451FB" w14:paraId="1F4AF643" w14:textId="77777777" w:rsidTr="005F305B">
        <w:trPr>
          <w:trHeight w:val="255"/>
        </w:trPr>
        <w:tc>
          <w:tcPr>
            <w:tcW w:w="2276" w:type="dxa"/>
            <w:gridSpan w:val="2"/>
            <w:tcBorders>
              <w:top w:val="nil"/>
              <w:left w:val="single" w:sz="4" w:space="0" w:color="auto"/>
              <w:bottom w:val="nil"/>
              <w:right w:val="single" w:sz="4" w:space="0" w:color="000000"/>
            </w:tcBorders>
            <w:shd w:val="clear" w:color="auto" w:fill="auto"/>
            <w:noWrap/>
            <w:vAlign w:val="bottom"/>
            <w:hideMark/>
          </w:tcPr>
          <w:p w14:paraId="1FCE37B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MAS DE 50 AÑOS</w:t>
            </w:r>
          </w:p>
        </w:tc>
        <w:tc>
          <w:tcPr>
            <w:tcW w:w="1823" w:type="dxa"/>
            <w:tcBorders>
              <w:top w:val="nil"/>
              <w:left w:val="nil"/>
              <w:bottom w:val="nil"/>
              <w:right w:val="single" w:sz="4" w:space="0" w:color="auto"/>
            </w:tcBorders>
            <w:shd w:val="clear" w:color="auto" w:fill="auto"/>
            <w:noWrap/>
            <w:vAlign w:val="bottom"/>
            <w:hideMark/>
          </w:tcPr>
          <w:p w14:paraId="453C6237"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2.556.652</w:t>
            </w:r>
          </w:p>
        </w:tc>
        <w:tc>
          <w:tcPr>
            <w:tcW w:w="1480" w:type="dxa"/>
            <w:tcBorders>
              <w:top w:val="nil"/>
              <w:left w:val="nil"/>
              <w:bottom w:val="nil"/>
              <w:right w:val="single" w:sz="4" w:space="0" w:color="auto"/>
            </w:tcBorders>
            <w:shd w:val="clear" w:color="auto" w:fill="auto"/>
            <w:noWrap/>
            <w:vAlign w:val="bottom"/>
            <w:hideMark/>
          </w:tcPr>
          <w:p w14:paraId="38909FB0"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1.337.582</w:t>
            </w:r>
          </w:p>
        </w:tc>
      </w:tr>
      <w:tr w:rsidR="005F305B" w:rsidRPr="009451FB" w14:paraId="22EB6060" w14:textId="77777777" w:rsidTr="005F305B">
        <w:trPr>
          <w:trHeight w:val="255"/>
        </w:trPr>
        <w:tc>
          <w:tcPr>
            <w:tcW w:w="2094" w:type="dxa"/>
            <w:tcBorders>
              <w:top w:val="nil"/>
              <w:left w:val="single" w:sz="4" w:space="0" w:color="auto"/>
              <w:bottom w:val="nil"/>
              <w:right w:val="nil"/>
            </w:tcBorders>
            <w:shd w:val="clear" w:color="auto" w:fill="auto"/>
            <w:noWrap/>
            <w:vAlign w:val="bottom"/>
            <w:hideMark/>
          </w:tcPr>
          <w:p w14:paraId="19D61B3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 w:type="dxa"/>
            <w:tcBorders>
              <w:top w:val="nil"/>
              <w:left w:val="nil"/>
              <w:bottom w:val="nil"/>
              <w:right w:val="single" w:sz="4" w:space="0" w:color="auto"/>
            </w:tcBorders>
            <w:shd w:val="clear" w:color="auto" w:fill="auto"/>
            <w:noWrap/>
            <w:vAlign w:val="bottom"/>
            <w:hideMark/>
          </w:tcPr>
          <w:p w14:paraId="45DEF3A2"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nil"/>
              <w:left w:val="nil"/>
              <w:bottom w:val="nil"/>
              <w:right w:val="single" w:sz="4" w:space="0" w:color="auto"/>
            </w:tcBorders>
            <w:shd w:val="clear" w:color="auto" w:fill="auto"/>
            <w:noWrap/>
            <w:vAlign w:val="bottom"/>
            <w:hideMark/>
          </w:tcPr>
          <w:p w14:paraId="153561D9"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480" w:type="dxa"/>
            <w:tcBorders>
              <w:top w:val="nil"/>
              <w:left w:val="nil"/>
              <w:bottom w:val="nil"/>
              <w:right w:val="single" w:sz="4" w:space="0" w:color="auto"/>
            </w:tcBorders>
            <w:shd w:val="clear" w:color="auto" w:fill="auto"/>
            <w:noWrap/>
            <w:vAlign w:val="bottom"/>
            <w:hideMark/>
          </w:tcPr>
          <w:p w14:paraId="3BF78D10"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5F305B" w:rsidRPr="009451FB" w14:paraId="0CEC6C7D" w14:textId="77777777" w:rsidTr="005F305B">
        <w:trPr>
          <w:trHeight w:val="255"/>
        </w:trPr>
        <w:tc>
          <w:tcPr>
            <w:tcW w:w="2276" w:type="dxa"/>
            <w:gridSpan w:val="2"/>
            <w:tcBorders>
              <w:top w:val="nil"/>
              <w:left w:val="single" w:sz="4" w:space="0" w:color="auto"/>
              <w:bottom w:val="nil"/>
              <w:right w:val="single" w:sz="4" w:space="0" w:color="000000"/>
            </w:tcBorders>
            <w:shd w:val="clear" w:color="auto" w:fill="auto"/>
            <w:noWrap/>
            <w:vAlign w:val="bottom"/>
            <w:hideMark/>
          </w:tcPr>
          <w:p w14:paraId="3ADD1A3E"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MAS DE 240 MESES DE</w:t>
            </w:r>
          </w:p>
        </w:tc>
        <w:tc>
          <w:tcPr>
            <w:tcW w:w="1823" w:type="dxa"/>
            <w:tcBorders>
              <w:top w:val="nil"/>
              <w:left w:val="nil"/>
              <w:bottom w:val="nil"/>
              <w:right w:val="single" w:sz="4" w:space="0" w:color="auto"/>
            </w:tcBorders>
            <w:shd w:val="clear" w:color="auto" w:fill="auto"/>
            <w:noWrap/>
            <w:vAlign w:val="bottom"/>
            <w:hideMark/>
          </w:tcPr>
          <w:p w14:paraId="4F448E6B"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480" w:type="dxa"/>
            <w:tcBorders>
              <w:top w:val="nil"/>
              <w:left w:val="nil"/>
              <w:bottom w:val="nil"/>
              <w:right w:val="single" w:sz="4" w:space="0" w:color="auto"/>
            </w:tcBorders>
            <w:shd w:val="clear" w:color="auto" w:fill="auto"/>
            <w:noWrap/>
            <w:vAlign w:val="bottom"/>
            <w:hideMark/>
          </w:tcPr>
          <w:p w14:paraId="14188D2B"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5F305B" w:rsidRPr="009451FB" w14:paraId="03F99C44" w14:textId="77777777" w:rsidTr="005F305B">
        <w:trPr>
          <w:trHeight w:val="255"/>
        </w:trPr>
        <w:tc>
          <w:tcPr>
            <w:tcW w:w="2094" w:type="dxa"/>
            <w:tcBorders>
              <w:top w:val="nil"/>
              <w:left w:val="single" w:sz="4" w:space="0" w:color="auto"/>
              <w:bottom w:val="nil"/>
              <w:right w:val="nil"/>
            </w:tcBorders>
            <w:shd w:val="clear" w:color="auto" w:fill="auto"/>
            <w:noWrap/>
            <w:vAlign w:val="bottom"/>
            <w:hideMark/>
          </w:tcPr>
          <w:p w14:paraId="650A9DEC"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APORTES</w:t>
            </w:r>
          </w:p>
        </w:tc>
        <w:tc>
          <w:tcPr>
            <w:tcW w:w="182" w:type="dxa"/>
            <w:tcBorders>
              <w:top w:val="nil"/>
              <w:left w:val="nil"/>
              <w:bottom w:val="nil"/>
              <w:right w:val="single" w:sz="4" w:space="0" w:color="auto"/>
            </w:tcBorders>
            <w:shd w:val="clear" w:color="auto" w:fill="auto"/>
            <w:noWrap/>
            <w:vAlign w:val="bottom"/>
            <w:hideMark/>
          </w:tcPr>
          <w:p w14:paraId="63594E82"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nil"/>
              <w:left w:val="nil"/>
              <w:bottom w:val="nil"/>
              <w:right w:val="single" w:sz="4" w:space="0" w:color="auto"/>
            </w:tcBorders>
            <w:shd w:val="clear" w:color="auto" w:fill="auto"/>
            <w:noWrap/>
            <w:vAlign w:val="bottom"/>
            <w:hideMark/>
          </w:tcPr>
          <w:p w14:paraId="7425C104"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800.765</w:t>
            </w:r>
          </w:p>
        </w:tc>
        <w:tc>
          <w:tcPr>
            <w:tcW w:w="1480" w:type="dxa"/>
            <w:tcBorders>
              <w:top w:val="nil"/>
              <w:left w:val="nil"/>
              <w:bottom w:val="nil"/>
              <w:right w:val="single" w:sz="4" w:space="0" w:color="auto"/>
            </w:tcBorders>
            <w:shd w:val="clear" w:color="auto" w:fill="auto"/>
            <w:noWrap/>
            <w:vAlign w:val="bottom"/>
            <w:hideMark/>
          </w:tcPr>
          <w:p w14:paraId="676AB6F4"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262.523</w:t>
            </w:r>
          </w:p>
        </w:tc>
      </w:tr>
      <w:tr w:rsidR="005F305B" w:rsidRPr="009451FB" w14:paraId="73A8A22C" w14:textId="77777777" w:rsidTr="005F305B">
        <w:trPr>
          <w:trHeight w:val="255"/>
        </w:trPr>
        <w:tc>
          <w:tcPr>
            <w:tcW w:w="2094" w:type="dxa"/>
            <w:tcBorders>
              <w:top w:val="nil"/>
              <w:left w:val="single" w:sz="4" w:space="0" w:color="auto"/>
              <w:bottom w:val="nil"/>
              <w:right w:val="nil"/>
            </w:tcBorders>
            <w:shd w:val="clear" w:color="auto" w:fill="auto"/>
            <w:noWrap/>
            <w:vAlign w:val="bottom"/>
            <w:hideMark/>
          </w:tcPr>
          <w:p w14:paraId="19EC8637"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 w:type="dxa"/>
            <w:tcBorders>
              <w:top w:val="nil"/>
              <w:left w:val="nil"/>
              <w:bottom w:val="nil"/>
              <w:right w:val="single" w:sz="4" w:space="0" w:color="auto"/>
            </w:tcBorders>
            <w:shd w:val="clear" w:color="auto" w:fill="auto"/>
            <w:noWrap/>
            <w:vAlign w:val="bottom"/>
            <w:hideMark/>
          </w:tcPr>
          <w:p w14:paraId="21E5B796"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nil"/>
              <w:left w:val="nil"/>
              <w:bottom w:val="nil"/>
              <w:right w:val="single" w:sz="4" w:space="0" w:color="auto"/>
            </w:tcBorders>
            <w:shd w:val="clear" w:color="auto" w:fill="auto"/>
            <w:noWrap/>
            <w:vAlign w:val="bottom"/>
            <w:hideMark/>
          </w:tcPr>
          <w:p w14:paraId="04C0B389"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480" w:type="dxa"/>
            <w:tcBorders>
              <w:top w:val="nil"/>
              <w:left w:val="nil"/>
              <w:bottom w:val="nil"/>
              <w:right w:val="single" w:sz="4" w:space="0" w:color="auto"/>
            </w:tcBorders>
            <w:shd w:val="clear" w:color="auto" w:fill="auto"/>
            <w:noWrap/>
            <w:vAlign w:val="bottom"/>
            <w:hideMark/>
          </w:tcPr>
          <w:p w14:paraId="6FB45187"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5F305B" w:rsidRPr="009451FB" w14:paraId="5411E88A" w14:textId="77777777" w:rsidTr="005F305B">
        <w:trPr>
          <w:trHeight w:val="255"/>
        </w:trPr>
        <w:tc>
          <w:tcPr>
            <w:tcW w:w="2276" w:type="dxa"/>
            <w:gridSpan w:val="2"/>
            <w:tcBorders>
              <w:top w:val="nil"/>
              <w:left w:val="single" w:sz="4" w:space="0" w:color="auto"/>
              <w:bottom w:val="single" w:sz="4" w:space="0" w:color="auto"/>
              <w:right w:val="single" w:sz="4" w:space="0" w:color="000000"/>
            </w:tcBorders>
            <w:shd w:val="clear" w:color="auto" w:fill="auto"/>
            <w:noWrap/>
            <w:vAlign w:val="bottom"/>
            <w:hideMark/>
          </w:tcPr>
          <w:p w14:paraId="27627530"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PORCENTAJE</w:t>
            </w:r>
          </w:p>
        </w:tc>
        <w:tc>
          <w:tcPr>
            <w:tcW w:w="1823" w:type="dxa"/>
            <w:tcBorders>
              <w:top w:val="nil"/>
              <w:left w:val="nil"/>
              <w:bottom w:val="single" w:sz="4" w:space="0" w:color="auto"/>
              <w:right w:val="single" w:sz="4" w:space="0" w:color="auto"/>
            </w:tcBorders>
            <w:shd w:val="clear" w:color="auto" w:fill="auto"/>
            <w:noWrap/>
            <w:vAlign w:val="bottom"/>
            <w:hideMark/>
          </w:tcPr>
          <w:p w14:paraId="07366804"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31,32%</w:t>
            </w:r>
          </w:p>
        </w:tc>
        <w:tc>
          <w:tcPr>
            <w:tcW w:w="1480" w:type="dxa"/>
            <w:tcBorders>
              <w:top w:val="nil"/>
              <w:left w:val="nil"/>
              <w:bottom w:val="single" w:sz="4" w:space="0" w:color="auto"/>
              <w:right w:val="single" w:sz="4" w:space="0" w:color="auto"/>
            </w:tcBorders>
            <w:shd w:val="clear" w:color="auto" w:fill="auto"/>
            <w:noWrap/>
            <w:vAlign w:val="bottom"/>
            <w:hideMark/>
          </w:tcPr>
          <w:p w14:paraId="4D41100F"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19,63%</w:t>
            </w:r>
          </w:p>
        </w:tc>
      </w:tr>
      <w:tr w:rsidR="005F305B" w:rsidRPr="009451FB" w14:paraId="5F90A972" w14:textId="77777777" w:rsidTr="005F305B">
        <w:trPr>
          <w:trHeight w:val="255"/>
        </w:trPr>
        <w:tc>
          <w:tcPr>
            <w:tcW w:w="2094" w:type="dxa"/>
            <w:tcBorders>
              <w:top w:val="nil"/>
              <w:left w:val="nil"/>
              <w:bottom w:val="nil"/>
              <w:right w:val="nil"/>
            </w:tcBorders>
            <w:shd w:val="clear" w:color="auto" w:fill="auto"/>
            <w:noWrap/>
            <w:vAlign w:val="bottom"/>
            <w:hideMark/>
          </w:tcPr>
          <w:p w14:paraId="4E12CED9"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 w:type="dxa"/>
            <w:tcBorders>
              <w:top w:val="nil"/>
              <w:left w:val="nil"/>
              <w:bottom w:val="nil"/>
              <w:right w:val="nil"/>
            </w:tcBorders>
            <w:shd w:val="clear" w:color="auto" w:fill="auto"/>
            <w:noWrap/>
            <w:vAlign w:val="bottom"/>
            <w:hideMark/>
          </w:tcPr>
          <w:p w14:paraId="42963712"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3" w:type="dxa"/>
            <w:tcBorders>
              <w:top w:val="nil"/>
              <w:left w:val="nil"/>
              <w:bottom w:val="nil"/>
              <w:right w:val="nil"/>
            </w:tcBorders>
            <w:shd w:val="clear" w:color="auto" w:fill="auto"/>
            <w:noWrap/>
            <w:vAlign w:val="bottom"/>
            <w:hideMark/>
          </w:tcPr>
          <w:p w14:paraId="17CB7805"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480" w:type="dxa"/>
            <w:tcBorders>
              <w:top w:val="nil"/>
              <w:left w:val="nil"/>
              <w:bottom w:val="nil"/>
              <w:right w:val="nil"/>
            </w:tcBorders>
            <w:shd w:val="clear" w:color="auto" w:fill="auto"/>
            <w:noWrap/>
            <w:vAlign w:val="bottom"/>
            <w:hideMark/>
          </w:tcPr>
          <w:p w14:paraId="73C8206B"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r>
      <w:tr w:rsidR="005F305B" w:rsidRPr="009451FB" w14:paraId="3A5BBE21" w14:textId="77777777" w:rsidTr="005F305B">
        <w:trPr>
          <w:trHeight w:val="255"/>
        </w:trPr>
        <w:tc>
          <w:tcPr>
            <w:tcW w:w="2094" w:type="dxa"/>
            <w:tcBorders>
              <w:top w:val="nil"/>
              <w:left w:val="nil"/>
              <w:bottom w:val="nil"/>
              <w:right w:val="nil"/>
            </w:tcBorders>
            <w:shd w:val="clear" w:color="auto" w:fill="auto"/>
            <w:noWrap/>
            <w:vAlign w:val="bottom"/>
            <w:hideMark/>
          </w:tcPr>
          <w:p w14:paraId="4BC16EED"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 w:type="dxa"/>
            <w:tcBorders>
              <w:top w:val="nil"/>
              <w:left w:val="nil"/>
              <w:bottom w:val="nil"/>
              <w:right w:val="nil"/>
            </w:tcBorders>
            <w:shd w:val="clear" w:color="auto" w:fill="auto"/>
            <w:noWrap/>
            <w:vAlign w:val="bottom"/>
            <w:hideMark/>
          </w:tcPr>
          <w:p w14:paraId="56C9653E"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823" w:type="dxa"/>
            <w:tcBorders>
              <w:top w:val="nil"/>
              <w:left w:val="nil"/>
              <w:bottom w:val="nil"/>
              <w:right w:val="nil"/>
            </w:tcBorders>
            <w:shd w:val="clear" w:color="auto" w:fill="auto"/>
            <w:noWrap/>
            <w:vAlign w:val="bottom"/>
            <w:hideMark/>
          </w:tcPr>
          <w:p w14:paraId="073DF1FD"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c>
          <w:tcPr>
            <w:tcW w:w="1480" w:type="dxa"/>
            <w:tcBorders>
              <w:top w:val="nil"/>
              <w:left w:val="nil"/>
              <w:bottom w:val="nil"/>
              <w:right w:val="nil"/>
            </w:tcBorders>
            <w:shd w:val="clear" w:color="auto" w:fill="auto"/>
            <w:noWrap/>
            <w:vAlign w:val="bottom"/>
            <w:hideMark/>
          </w:tcPr>
          <w:p w14:paraId="6E79310D" w14:textId="77777777" w:rsidR="005F305B" w:rsidRPr="009451FB" w:rsidRDefault="005F305B" w:rsidP="009451FB">
            <w:pPr>
              <w:spacing w:after="0" w:line="240" w:lineRule="auto"/>
              <w:jc w:val="both"/>
              <w:rPr>
                <w:rFonts w:ascii="Arial" w:eastAsia="Times New Roman" w:hAnsi="Arial" w:cs="Arial"/>
                <w:sz w:val="24"/>
                <w:szCs w:val="24"/>
                <w:lang w:eastAsia="es-AR"/>
              </w:rPr>
            </w:pPr>
          </w:p>
        </w:tc>
      </w:tr>
      <w:tr w:rsidR="005F305B" w:rsidRPr="009451FB" w14:paraId="7EEC14CF" w14:textId="77777777" w:rsidTr="005F305B">
        <w:trPr>
          <w:trHeight w:val="255"/>
        </w:trPr>
        <w:tc>
          <w:tcPr>
            <w:tcW w:w="2094" w:type="dxa"/>
            <w:tcBorders>
              <w:top w:val="single" w:sz="4" w:space="0" w:color="auto"/>
              <w:left w:val="single" w:sz="4" w:space="0" w:color="auto"/>
              <w:bottom w:val="nil"/>
              <w:right w:val="nil"/>
            </w:tcBorders>
            <w:shd w:val="clear" w:color="auto" w:fill="auto"/>
            <w:noWrap/>
            <w:vAlign w:val="bottom"/>
            <w:hideMark/>
          </w:tcPr>
          <w:p w14:paraId="6C99BBF2"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 w:type="dxa"/>
            <w:tcBorders>
              <w:top w:val="single" w:sz="4" w:space="0" w:color="auto"/>
              <w:left w:val="nil"/>
              <w:bottom w:val="nil"/>
              <w:right w:val="nil"/>
            </w:tcBorders>
            <w:shd w:val="clear" w:color="auto" w:fill="auto"/>
            <w:noWrap/>
            <w:vAlign w:val="bottom"/>
            <w:hideMark/>
          </w:tcPr>
          <w:p w14:paraId="60CC2973"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5F086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VARONES</w:t>
            </w:r>
          </w:p>
        </w:tc>
        <w:tc>
          <w:tcPr>
            <w:tcW w:w="1480" w:type="dxa"/>
            <w:tcBorders>
              <w:top w:val="single" w:sz="4" w:space="0" w:color="auto"/>
              <w:left w:val="nil"/>
              <w:bottom w:val="single" w:sz="4" w:space="0" w:color="auto"/>
              <w:right w:val="single" w:sz="4" w:space="0" w:color="auto"/>
            </w:tcBorders>
            <w:shd w:val="clear" w:color="auto" w:fill="auto"/>
            <w:noWrap/>
            <w:vAlign w:val="bottom"/>
            <w:hideMark/>
          </w:tcPr>
          <w:p w14:paraId="3FD23946"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MUJERES</w:t>
            </w:r>
          </w:p>
        </w:tc>
      </w:tr>
      <w:tr w:rsidR="005F305B" w:rsidRPr="009451FB" w14:paraId="4EB9FE18" w14:textId="77777777" w:rsidTr="005F305B">
        <w:trPr>
          <w:trHeight w:val="255"/>
        </w:trPr>
        <w:tc>
          <w:tcPr>
            <w:tcW w:w="2276" w:type="dxa"/>
            <w:gridSpan w:val="2"/>
            <w:tcBorders>
              <w:top w:val="nil"/>
              <w:left w:val="single" w:sz="4" w:space="0" w:color="auto"/>
              <w:bottom w:val="nil"/>
              <w:right w:val="nil"/>
            </w:tcBorders>
            <w:shd w:val="clear" w:color="auto" w:fill="auto"/>
            <w:noWrap/>
            <w:vAlign w:val="bottom"/>
            <w:hideMark/>
          </w:tcPr>
          <w:p w14:paraId="41E735FF"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xml:space="preserve">MAS 240 MESES DE </w:t>
            </w:r>
          </w:p>
        </w:tc>
        <w:tc>
          <w:tcPr>
            <w:tcW w:w="1823" w:type="dxa"/>
            <w:tcBorders>
              <w:top w:val="nil"/>
              <w:left w:val="single" w:sz="4" w:space="0" w:color="auto"/>
              <w:bottom w:val="nil"/>
              <w:right w:val="single" w:sz="4" w:space="0" w:color="auto"/>
            </w:tcBorders>
            <w:shd w:val="clear" w:color="auto" w:fill="auto"/>
            <w:noWrap/>
            <w:vAlign w:val="bottom"/>
            <w:hideMark/>
          </w:tcPr>
          <w:p w14:paraId="5E0F4795"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480" w:type="dxa"/>
            <w:tcBorders>
              <w:top w:val="nil"/>
              <w:left w:val="nil"/>
              <w:bottom w:val="nil"/>
              <w:right w:val="single" w:sz="4" w:space="0" w:color="auto"/>
            </w:tcBorders>
            <w:shd w:val="clear" w:color="auto" w:fill="auto"/>
            <w:noWrap/>
            <w:vAlign w:val="bottom"/>
            <w:hideMark/>
          </w:tcPr>
          <w:p w14:paraId="0B3A1811"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5F305B" w:rsidRPr="009451FB" w14:paraId="5E415890" w14:textId="77777777" w:rsidTr="005F305B">
        <w:trPr>
          <w:trHeight w:val="255"/>
        </w:trPr>
        <w:tc>
          <w:tcPr>
            <w:tcW w:w="2094" w:type="dxa"/>
            <w:tcBorders>
              <w:top w:val="nil"/>
              <w:left w:val="single" w:sz="4" w:space="0" w:color="auto"/>
              <w:bottom w:val="single" w:sz="4" w:space="0" w:color="auto"/>
              <w:right w:val="nil"/>
            </w:tcBorders>
            <w:shd w:val="clear" w:color="auto" w:fill="auto"/>
            <w:noWrap/>
            <w:vAlign w:val="bottom"/>
            <w:hideMark/>
          </w:tcPr>
          <w:p w14:paraId="5055C838"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APORTES</w:t>
            </w:r>
          </w:p>
        </w:tc>
        <w:tc>
          <w:tcPr>
            <w:tcW w:w="182" w:type="dxa"/>
            <w:tcBorders>
              <w:top w:val="nil"/>
              <w:left w:val="nil"/>
              <w:bottom w:val="single" w:sz="4" w:space="0" w:color="auto"/>
              <w:right w:val="nil"/>
            </w:tcBorders>
            <w:shd w:val="clear" w:color="auto" w:fill="auto"/>
            <w:noWrap/>
            <w:vAlign w:val="bottom"/>
            <w:hideMark/>
          </w:tcPr>
          <w:p w14:paraId="05EEDC99"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823" w:type="dxa"/>
            <w:tcBorders>
              <w:top w:val="nil"/>
              <w:left w:val="single" w:sz="4" w:space="0" w:color="auto"/>
              <w:bottom w:val="single" w:sz="4" w:space="0" w:color="auto"/>
              <w:right w:val="single" w:sz="4" w:space="0" w:color="auto"/>
            </w:tcBorders>
            <w:shd w:val="clear" w:color="auto" w:fill="auto"/>
            <w:noWrap/>
            <w:vAlign w:val="bottom"/>
            <w:hideMark/>
          </w:tcPr>
          <w:p w14:paraId="37917B4D"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1.242.524</w:t>
            </w:r>
          </w:p>
        </w:tc>
        <w:tc>
          <w:tcPr>
            <w:tcW w:w="1480" w:type="dxa"/>
            <w:tcBorders>
              <w:top w:val="nil"/>
              <w:left w:val="nil"/>
              <w:bottom w:val="single" w:sz="4" w:space="0" w:color="auto"/>
              <w:right w:val="single" w:sz="4" w:space="0" w:color="auto"/>
            </w:tcBorders>
            <w:shd w:val="clear" w:color="auto" w:fill="auto"/>
            <w:noWrap/>
            <w:vAlign w:val="bottom"/>
            <w:hideMark/>
          </w:tcPr>
          <w:p w14:paraId="633408C5" w14:textId="77777777" w:rsidR="005F305B" w:rsidRPr="009451FB" w:rsidRDefault="005F305B"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441.094</w:t>
            </w:r>
          </w:p>
        </w:tc>
      </w:tr>
    </w:tbl>
    <w:p w14:paraId="7C39E280" w14:textId="77777777" w:rsidR="005F305B" w:rsidRPr="009451FB" w:rsidRDefault="005F305B" w:rsidP="009451FB">
      <w:pPr>
        <w:spacing w:line="240" w:lineRule="auto"/>
        <w:jc w:val="both"/>
        <w:rPr>
          <w:rFonts w:ascii="Arial" w:hAnsi="Arial" w:cs="Arial"/>
          <w:sz w:val="24"/>
          <w:szCs w:val="24"/>
        </w:rPr>
      </w:pPr>
    </w:p>
    <w:p w14:paraId="45DDD7E1" w14:textId="681866CF" w:rsidR="005F305B" w:rsidRPr="009451FB" w:rsidRDefault="00B6379A" w:rsidP="009451FB">
      <w:pPr>
        <w:spacing w:line="240" w:lineRule="auto"/>
        <w:jc w:val="both"/>
        <w:rPr>
          <w:rFonts w:ascii="Arial" w:hAnsi="Arial" w:cs="Arial"/>
          <w:b/>
          <w:bCs/>
          <w:sz w:val="24"/>
          <w:szCs w:val="24"/>
        </w:rPr>
      </w:pPr>
      <w:bookmarkStart w:id="4" w:name="_Hlk54270054"/>
      <w:r w:rsidRPr="009451FB">
        <w:rPr>
          <w:rFonts w:ascii="Arial" w:hAnsi="Arial" w:cs="Arial"/>
          <w:b/>
          <w:bCs/>
          <w:sz w:val="24"/>
          <w:szCs w:val="24"/>
        </w:rPr>
        <w:t>2.</w:t>
      </w:r>
      <w:r w:rsidR="001563F5" w:rsidRPr="009451FB">
        <w:rPr>
          <w:rFonts w:ascii="Arial" w:hAnsi="Arial" w:cs="Arial"/>
          <w:b/>
          <w:bCs/>
          <w:sz w:val="24"/>
          <w:szCs w:val="24"/>
        </w:rPr>
        <w:t>5</w:t>
      </w:r>
      <w:r w:rsidRPr="009451FB">
        <w:rPr>
          <w:rFonts w:ascii="Arial" w:hAnsi="Arial" w:cs="Arial"/>
          <w:b/>
          <w:bCs/>
          <w:sz w:val="24"/>
          <w:szCs w:val="24"/>
        </w:rPr>
        <w:t>.</w:t>
      </w:r>
      <w:r w:rsidR="001563F5" w:rsidRPr="009451FB">
        <w:rPr>
          <w:rFonts w:ascii="Arial" w:hAnsi="Arial" w:cs="Arial"/>
          <w:b/>
          <w:bCs/>
          <w:sz w:val="24"/>
          <w:szCs w:val="24"/>
        </w:rPr>
        <w:t xml:space="preserve"> </w:t>
      </w:r>
      <w:r w:rsidR="00083999" w:rsidRPr="009451FB">
        <w:rPr>
          <w:rFonts w:ascii="Arial" w:hAnsi="Arial" w:cs="Arial"/>
          <w:b/>
          <w:bCs/>
          <w:sz w:val="24"/>
          <w:szCs w:val="24"/>
        </w:rPr>
        <w:t xml:space="preserve">Moratoria previsional para mujeres </w:t>
      </w:r>
      <w:r w:rsidR="00924BCC" w:rsidRPr="009451FB">
        <w:rPr>
          <w:rFonts w:ascii="Arial" w:hAnsi="Arial" w:cs="Arial"/>
          <w:b/>
          <w:bCs/>
          <w:sz w:val="24"/>
          <w:szCs w:val="24"/>
        </w:rPr>
        <w:t>y las llamadas Jubilaciones para Amas de Casa:</w:t>
      </w:r>
      <w:r w:rsidR="00083999" w:rsidRPr="009451FB">
        <w:rPr>
          <w:rFonts w:ascii="Arial" w:hAnsi="Arial" w:cs="Arial"/>
          <w:b/>
          <w:bCs/>
          <w:sz w:val="24"/>
          <w:szCs w:val="24"/>
        </w:rPr>
        <w:t xml:space="preserve"> </w:t>
      </w:r>
    </w:p>
    <w:bookmarkEnd w:id="4"/>
    <w:p w14:paraId="59C565AF" w14:textId="6F48E680" w:rsidR="00083999" w:rsidRPr="009451FB" w:rsidRDefault="00083999" w:rsidP="009451FB">
      <w:pPr>
        <w:spacing w:line="240" w:lineRule="auto"/>
        <w:jc w:val="both"/>
        <w:rPr>
          <w:rFonts w:ascii="Arial" w:hAnsi="Arial" w:cs="Arial"/>
          <w:sz w:val="24"/>
          <w:szCs w:val="24"/>
        </w:rPr>
      </w:pPr>
      <w:r w:rsidRPr="009451FB">
        <w:rPr>
          <w:rFonts w:ascii="Arial" w:hAnsi="Arial" w:cs="Arial"/>
          <w:sz w:val="24"/>
          <w:szCs w:val="24"/>
        </w:rPr>
        <w:t xml:space="preserve">Hoy se encuentra vigente la Ley </w:t>
      </w:r>
      <w:r w:rsidR="004A71E5" w:rsidRPr="009451FB">
        <w:rPr>
          <w:rFonts w:ascii="Arial" w:hAnsi="Arial" w:cs="Arial"/>
          <w:sz w:val="24"/>
          <w:szCs w:val="24"/>
        </w:rPr>
        <w:t xml:space="preserve">26.970, prorrogada por la Ley 27.260 de Reparación Histórica, </w:t>
      </w:r>
      <w:r w:rsidR="00F833B5" w:rsidRPr="009451FB">
        <w:rPr>
          <w:rFonts w:ascii="Arial" w:hAnsi="Arial" w:cs="Arial"/>
          <w:sz w:val="24"/>
          <w:szCs w:val="24"/>
        </w:rPr>
        <w:t>que pe</w:t>
      </w:r>
      <w:r w:rsidRPr="009451FB">
        <w:rPr>
          <w:rFonts w:ascii="Arial" w:hAnsi="Arial" w:cs="Arial"/>
          <w:sz w:val="24"/>
          <w:szCs w:val="24"/>
        </w:rPr>
        <w:t>rmite acreditar vía moratoria aportes previsionales por el régimen de trabajadores autónomos o monotributo a mujeres que cumplan los 60 años hasta el año 2022. Los aportes se pueden acreditar con anterioridad al año 2003. Así es que este régimen no permite computar la totalidad de los años de aportes faltantes, para el caso de la</w:t>
      </w:r>
      <w:r w:rsidR="00F833B5" w:rsidRPr="009451FB">
        <w:rPr>
          <w:rFonts w:ascii="Arial" w:hAnsi="Arial" w:cs="Arial"/>
          <w:sz w:val="24"/>
          <w:szCs w:val="24"/>
        </w:rPr>
        <w:t>s</w:t>
      </w:r>
      <w:r w:rsidRPr="009451FB">
        <w:rPr>
          <w:rFonts w:ascii="Arial" w:hAnsi="Arial" w:cs="Arial"/>
          <w:sz w:val="24"/>
          <w:szCs w:val="24"/>
        </w:rPr>
        <w:t xml:space="preserve"> llamadas Jubilaciones de Amas de Casa, que sin proponérselo cumplieron con el objetivo de dar una prestación previsional a quienes se habían dedicado toda su vida al trabajo doméstico</w:t>
      </w:r>
      <w:r w:rsidR="00682360" w:rsidRPr="009451FB">
        <w:rPr>
          <w:rFonts w:ascii="Arial" w:hAnsi="Arial" w:cs="Arial"/>
          <w:sz w:val="24"/>
          <w:szCs w:val="24"/>
        </w:rPr>
        <w:t xml:space="preserve"> ya que el 73,4% de quienes se jubilaron por moratorias son mujeres</w:t>
      </w:r>
      <w:r w:rsidRPr="009451FB">
        <w:rPr>
          <w:rFonts w:ascii="Arial" w:hAnsi="Arial" w:cs="Arial"/>
          <w:sz w:val="24"/>
          <w:szCs w:val="24"/>
        </w:rPr>
        <w:t>. Por ejemplo una persona que cumple los 60 años en el año 2020, puede computar aportes desde que cumplió los 18 años en 1978 hasta el año 2003, o sea puede computar por este régimen 25 años, restando 5 años de aportes para poder Jubilarse.</w:t>
      </w:r>
    </w:p>
    <w:p w14:paraId="184B0D99" w14:textId="4D9A5E2A" w:rsidR="00083999" w:rsidRPr="009451FB" w:rsidRDefault="00083999" w:rsidP="009451FB">
      <w:pPr>
        <w:spacing w:line="240" w:lineRule="auto"/>
        <w:jc w:val="both"/>
        <w:rPr>
          <w:rFonts w:ascii="Arial" w:hAnsi="Arial" w:cs="Arial"/>
          <w:sz w:val="24"/>
          <w:szCs w:val="24"/>
        </w:rPr>
      </w:pPr>
      <w:r w:rsidRPr="009451FB">
        <w:rPr>
          <w:rFonts w:ascii="Arial" w:hAnsi="Arial" w:cs="Arial"/>
          <w:sz w:val="24"/>
          <w:szCs w:val="24"/>
        </w:rPr>
        <w:t>Un informe del CEPA – Centro de Economía Política Argentina, señala que al año 2018, a pesar de esta moratoria</w:t>
      </w:r>
      <w:r w:rsidR="00D360B4" w:rsidRPr="009451FB">
        <w:rPr>
          <w:rFonts w:ascii="Arial" w:hAnsi="Arial" w:cs="Arial"/>
          <w:sz w:val="24"/>
          <w:szCs w:val="24"/>
        </w:rPr>
        <w:t xml:space="preserve">, y por no abarcar la misma la totalidad de los años de aportes necesarios </w:t>
      </w:r>
      <w:r w:rsidRPr="009451FB">
        <w:rPr>
          <w:rFonts w:ascii="Arial" w:hAnsi="Arial" w:cs="Arial"/>
          <w:sz w:val="24"/>
          <w:szCs w:val="24"/>
        </w:rPr>
        <w:t>había en nuestro país 500.000 mujeres de 55 a 59 años que no estaban en condiciones de jubilarse.</w:t>
      </w:r>
    </w:p>
    <w:p w14:paraId="53F74EA2" w14:textId="2D8DDCD4" w:rsidR="00083999" w:rsidRPr="009451FB" w:rsidRDefault="00083999" w:rsidP="009451FB">
      <w:pPr>
        <w:spacing w:line="240" w:lineRule="auto"/>
        <w:jc w:val="both"/>
        <w:rPr>
          <w:rFonts w:ascii="Arial" w:hAnsi="Arial" w:cs="Arial"/>
          <w:sz w:val="24"/>
          <w:szCs w:val="24"/>
        </w:rPr>
      </w:pPr>
      <w:r w:rsidRPr="009451FB">
        <w:rPr>
          <w:rFonts w:ascii="Arial" w:hAnsi="Arial" w:cs="Arial"/>
          <w:noProof/>
          <w:sz w:val="24"/>
          <w:szCs w:val="24"/>
          <w:lang w:eastAsia="es-AR"/>
        </w:rPr>
        <w:lastRenderedPageBreak/>
        <w:drawing>
          <wp:inline distT="0" distB="0" distL="0" distR="0" wp14:anchorId="365D7EA4" wp14:editId="0B2C034F">
            <wp:extent cx="5383931" cy="2362200"/>
            <wp:effectExtent l="0" t="0" r="7620" b="0"/>
            <wp:docPr id="14" name="Imagen 14"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Tabl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5411661" cy="2374367"/>
                    </a:xfrm>
                    <a:prstGeom prst="rect">
                      <a:avLst/>
                    </a:prstGeom>
                  </pic:spPr>
                </pic:pic>
              </a:graphicData>
            </a:graphic>
          </wp:inline>
        </w:drawing>
      </w:r>
    </w:p>
    <w:p w14:paraId="1781DB06" w14:textId="2ECE92AE" w:rsidR="005F305B" w:rsidRPr="009451FB" w:rsidRDefault="005F305B" w:rsidP="009451FB">
      <w:pPr>
        <w:spacing w:line="240" w:lineRule="auto"/>
        <w:jc w:val="both"/>
        <w:rPr>
          <w:rFonts w:ascii="Arial" w:hAnsi="Arial" w:cs="Arial"/>
          <w:sz w:val="24"/>
          <w:szCs w:val="24"/>
        </w:rPr>
      </w:pPr>
      <w:r w:rsidRPr="009451FB">
        <w:rPr>
          <w:rFonts w:ascii="Arial" w:hAnsi="Arial" w:cs="Arial"/>
          <w:sz w:val="24"/>
          <w:szCs w:val="24"/>
        </w:rPr>
        <w:t>.</w:t>
      </w:r>
    </w:p>
    <w:p w14:paraId="45C16F8A" w14:textId="1F03E6F8" w:rsidR="006C1038" w:rsidRPr="009451FB" w:rsidRDefault="00B6379A" w:rsidP="009451FB">
      <w:pPr>
        <w:spacing w:line="240" w:lineRule="auto"/>
        <w:jc w:val="both"/>
        <w:rPr>
          <w:rFonts w:ascii="Arial" w:hAnsi="Arial" w:cs="Arial"/>
          <w:sz w:val="24"/>
          <w:szCs w:val="24"/>
        </w:rPr>
      </w:pPr>
      <w:r w:rsidRPr="009451FB">
        <w:rPr>
          <w:rFonts w:ascii="Arial" w:hAnsi="Arial" w:cs="Arial"/>
          <w:b/>
          <w:bCs/>
          <w:sz w:val="24"/>
          <w:szCs w:val="24"/>
        </w:rPr>
        <w:t>2.</w:t>
      </w:r>
      <w:r w:rsidR="0029582A" w:rsidRPr="009451FB">
        <w:rPr>
          <w:rFonts w:ascii="Arial" w:hAnsi="Arial" w:cs="Arial"/>
          <w:b/>
          <w:bCs/>
          <w:sz w:val="24"/>
          <w:szCs w:val="24"/>
        </w:rPr>
        <w:t>6</w:t>
      </w:r>
      <w:r w:rsidRPr="009451FB">
        <w:rPr>
          <w:rFonts w:ascii="Arial" w:hAnsi="Arial" w:cs="Arial"/>
          <w:b/>
          <w:bCs/>
          <w:sz w:val="24"/>
          <w:szCs w:val="24"/>
        </w:rPr>
        <w:t>.</w:t>
      </w:r>
      <w:r w:rsidR="0029582A" w:rsidRPr="009451FB">
        <w:rPr>
          <w:rFonts w:ascii="Arial" w:hAnsi="Arial" w:cs="Arial"/>
          <w:b/>
          <w:bCs/>
          <w:sz w:val="24"/>
          <w:szCs w:val="24"/>
        </w:rPr>
        <w:t xml:space="preserve"> </w:t>
      </w:r>
      <w:r w:rsidR="006C1038" w:rsidRPr="009451FB">
        <w:rPr>
          <w:rFonts w:ascii="Arial" w:hAnsi="Arial" w:cs="Arial"/>
          <w:b/>
          <w:bCs/>
          <w:sz w:val="24"/>
          <w:szCs w:val="24"/>
        </w:rPr>
        <w:t xml:space="preserve">Acceso a los puestos de trabajo más calificados. Respondiendo a la </w:t>
      </w:r>
      <w:proofErr w:type="gramStart"/>
      <w:r w:rsidR="006C1038" w:rsidRPr="009451FB">
        <w:rPr>
          <w:rFonts w:ascii="Arial" w:hAnsi="Arial" w:cs="Arial"/>
          <w:b/>
          <w:bCs/>
          <w:sz w:val="24"/>
          <w:szCs w:val="24"/>
        </w:rPr>
        <w:t>pregunta</w:t>
      </w:r>
      <w:r w:rsidR="00451999" w:rsidRPr="009451FB">
        <w:rPr>
          <w:rFonts w:ascii="Arial" w:hAnsi="Arial" w:cs="Arial"/>
          <w:b/>
          <w:bCs/>
          <w:sz w:val="24"/>
          <w:szCs w:val="24"/>
        </w:rPr>
        <w:t xml:space="preserve"> :</w:t>
      </w:r>
      <w:proofErr w:type="gramEnd"/>
      <w:r w:rsidR="00451999" w:rsidRPr="009451FB">
        <w:rPr>
          <w:rFonts w:ascii="Arial" w:hAnsi="Arial" w:cs="Arial"/>
          <w:b/>
          <w:bCs/>
          <w:sz w:val="24"/>
          <w:szCs w:val="24"/>
        </w:rPr>
        <w:t xml:space="preserve"> L</w:t>
      </w:r>
      <w:r w:rsidR="006C1038" w:rsidRPr="009451FB">
        <w:rPr>
          <w:rFonts w:ascii="Arial" w:hAnsi="Arial" w:cs="Arial"/>
          <w:b/>
          <w:bCs/>
          <w:sz w:val="24"/>
          <w:szCs w:val="24"/>
        </w:rPr>
        <w:t>as mujeres se capacitan más o menos que los varones</w:t>
      </w:r>
      <w:r w:rsidR="00451999" w:rsidRPr="009451FB">
        <w:rPr>
          <w:rFonts w:ascii="Arial" w:hAnsi="Arial" w:cs="Arial"/>
          <w:sz w:val="24"/>
          <w:szCs w:val="24"/>
        </w:rPr>
        <w:t>?</w:t>
      </w:r>
    </w:p>
    <w:p w14:paraId="3B8D8EE2" w14:textId="28E0D2BB" w:rsidR="006C1038" w:rsidRPr="009451FB" w:rsidRDefault="006C1038" w:rsidP="009451FB">
      <w:pPr>
        <w:spacing w:line="240" w:lineRule="auto"/>
        <w:jc w:val="both"/>
        <w:rPr>
          <w:rFonts w:ascii="Arial" w:hAnsi="Arial" w:cs="Arial"/>
          <w:sz w:val="24"/>
          <w:szCs w:val="24"/>
        </w:rPr>
      </w:pPr>
      <w:r w:rsidRPr="009451FB">
        <w:rPr>
          <w:rFonts w:ascii="Arial" w:hAnsi="Arial" w:cs="Arial"/>
          <w:sz w:val="24"/>
          <w:szCs w:val="24"/>
        </w:rPr>
        <w:t>Estudio del CIPPEC 2015. La matriculación en Universidades por parte de las mujeres no cesa, aunque no es igual la proporción en las distintas áreas de estudio.</w:t>
      </w:r>
    </w:p>
    <w:p w14:paraId="200EAB12" w14:textId="4E7A055D" w:rsidR="006C1038" w:rsidRPr="009451FB" w:rsidRDefault="002C2A99"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3A2CA62A" wp14:editId="520B8557">
            <wp:extent cx="6181725" cy="2121152"/>
            <wp:effectExtent l="0" t="0" r="0" b="0"/>
            <wp:docPr id="5" name="Imagen 5"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Gráfico, Gráfico de barras&#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6236133" cy="2139821"/>
                    </a:xfrm>
                    <a:prstGeom prst="rect">
                      <a:avLst/>
                    </a:prstGeom>
                  </pic:spPr>
                </pic:pic>
              </a:graphicData>
            </a:graphic>
          </wp:inline>
        </w:drawing>
      </w:r>
    </w:p>
    <w:p w14:paraId="4C82C505" w14:textId="60F0E91D" w:rsidR="00451999" w:rsidRPr="009451FB" w:rsidRDefault="00451999" w:rsidP="009451FB">
      <w:pPr>
        <w:spacing w:line="240" w:lineRule="auto"/>
        <w:jc w:val="both"/>
        <w:rPr>
          <w:rFonts w:ascii="Arial" w:hAnsi="Arial" w:cs="Arial"/>
          <w:b/>
          <w:bCs/>
          <w:sz w:val="24"/>
          <w:szCs w:val="24"/>
        </w:rPr>
      </w:pPr>
      <w:r w:rsidRPr="009451FB">
        <w:rPr>
          <w:rFonts w:ascii="Arial" w:hAnsi="Arial" w:cs="Arial"/>
          <w:b/>
          <w:bCs/>
          <w:sz w:val="24"/>
          <w:szCs w:val="24"/>
        </w:rPr>
        <w:t>Acceso de las Mujeres a Puestos de Dirección o Jerárquicos:</w:t>
      </w:r>
    </w:p>
    <w:p w14:paraId="32251DA5" w14:textId="70114010" w:rsidR="00B21B60" w:rsidRPr="009451FB" w:rsidRDefault="002C2A99"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60D395D4" wp14:editId="2636B43A">
            <wp:extent cx="6342392" cy="2124075"/>
            <wp:effectExtent l="0" t="0" r="1270" b="0"/>
            <wp:docPr id="16" name="Imagen 16" descr="Gráfico, Gráfico de embu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Gráfico, Gráfico de embudo&#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6343011" cy="2124282"/>
                    </a:xfrm>
                    <a:prstGeom prst="rect">
                      <a:avLst/>
                    </a:prstGeom>
                  </pic:spPr>
                </pic:pic>
              </a:graphicData>
            </a:graphic>
          </wp:inline>
        </w:drawing>
      </w:r>
    </w:p>
    <w:p w14:paraId="4BCF83C8" w14:textId="77777777" w:rsidR="002C2A99" w:rsidRPr="009451FB" w:rsidRDefault="002C2A99" w:rsidP="009451FB">
      <w:pPr>
        <w:spacing w:line="240" w:lineRule="auto"/>
        <w:jc w:val="both"/>
        <w:rPr>
          <w:rFonts w:ascii="Arial" w:hAnsi="Arial" w:cs="Arial"/>
          <w:sz w:val="24"/>
          <w:szCs w:val="24"/>
        </w:rPr>
      </w:pPr>
    </w:p>
    <w:p w14:paraId="4B931DE7" w14:textId="231C1681" w:rsidR="002C2A99" w:rsidRPr="009451FB" w:rsidRDefault="002C2A99" w:rsidP="009451FB">
      <w:pPr>
        <w:spacing w:line="240" w:lineRule="auto"/>
        <w:jc w:val="both"/>
        <w:rPr>
          <w:rFonts w:ascii="Arial" w:hAnsi="Arial" w:cs="Arial"/>
          <w:sz w:val="24"/>
          <w:szCs w:val="24"/>
        </w:rPr>
      </w:pPr>
      <w:r w:rsidRPr="009451FB">
        <w:rPr>
          <w:rFonts w:ascii="Arial" w:hAnsi="Arial" w:cs="Arial"/>
          <w:noProof/>
          <w:sz w:val="24"/>
          <w:szCs w:val="24"/>
          <w:lang w:eastAsia="es-AR"/>
        </w:rPr>
        <w:lastRenderedPageBreak/>
        <w:drawing>
          <wp:inline distT="0" distB="0" distL="0" distR="0" wp14:anchorId="07981A20" wp14:editId="5DBE5E58">
            <wp:extent cx="6076950" cy="3241421"/>
            <wp:effectExtent l="0" t="0" r="0" b="0"/>
            <wp:docPr id="17" name="Imagen 17"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Tabla&#10;&#10;Descripción generada automáticamente"/>
                    <pic:cNvPicPr/>
                  </pic:nvPicPr>
                  <pic:blipFill>
                    <a:blip r:embed="rId18">
                      <a:extLst>
                        <a:ext uri="{28A0092B-C50C-407E-A947-70E740481C1C}">
                          <a14:useLocalDpi xmlns:a14="http://schemas.microsoft.com/office/drawing/2010/main" val="0"/>
                        </a:ext>
                      </a:extLst>
                    </a:blip>
                    <a:stretch>
                      <a:fillRect/>
                    </a:stretch>
                  </pic:blipFill>
                  <pic:spPr>
                    <a:xfrm>
                      <a:off x="0" y="0"/>
                      <a:ext cx="6094843" cy="3250965"/>
                    </a:xfrm>
                    <a:prstGeom prst="rect">
                      <a:avLst/>
                    </a:prstGeom>
                  </pic:spPr>
                </pic:pic>
              </a:graphicData>
            </a:graphic>
          </wp:inline>
        </w:drawing>
      </w:r>
    </w:p>
    <w:p w14:paraId="1E5B945F" w14:textId="77777777" w:rsidR="002C2A99" w:rsidRPr="009451FB" w:rsidRDefault="002C2A99" w:rsidP="009451FB">
      <w:pPr>
        <w:spacing w:line="240" w:lineRule="auto"/>
        <w:jc w:val="both"/>
        <w:rPr>
          <w:rFonts w:ascii="Arial" w:hAnsi="Arial" w:cs="Arial"/>
          <w:sz w:val="24"/>
          <w:szCs w:val="24"/>
        </w:rPr>
      </w:pPr>
    </w:p>
    <w:p w14:paraId="3EE01525" w14:textId="77777777" w:rsidR="002C2A99" w:rsidRPr="009451FB" w:rsidRDefault="002C2A99" w:rsidP="009451FB">
      <w:pPr>
        <w:spacing w:line="240" w:lineRule="auto"/>
        <w:jc w:val="both"/>
        <w:rPr>
          <w:rFonts w:ascii="Arial" w:hAnsi="Arial" w:cs="Arial"/>
          <w:sz w:val="24"/>
          <w:szCs w:val="24"/>
        </w:rPr>
      </w:pPr>
    </w:p>
    <w:p w14:paraId="7474F339" w14:textId="0FB571EC" w:rsidR="00B21B60" w:rsidRPr="009451FB" w:rsidRDefault="00B21B60" w:rsidP="009451FB">
      <w:pPr>
        <w:spacing w:line="240" w:lineRule="auto"/>
        <w:jc w:val="both"/>
        <w:rPr>
          <w:rFonts w:ascii="Arial" w:hAnsi="Arial" w:cs="Arial"/>
          <w:sz w:val="24"/>
          <w:szCs w:val="24"/>
        </w:rPr>
      </w:pPr>
      <w:r w:rsidRPr="009451FB">
        <w:rPr>
          <w:rFonts w:ascii="Arial" w:hAnsi="Arial" w:cs="Arial"/>
          <w:sz w:val="24"/>
          <w:szCs w:val="24"/>
        </w:rPr>
        <w:t>Crecimiento de los Hogares Monoparentales y estancamiento de la proporción de mujeres con hijos que trabajan desde el año 2000</w:t>
      </w:r>
    </w:p>
    <w:p w14:paraId="34F3EE21" w14:textId="0D034640" w:rsidR="00D42E4E" w:rsidRPr="009451FB" w:rsidRDefault="00D42E4E" w:rsidP="009451FB">
      <w:pPr>
        <w:spacing w:line="240" w:lineRule="auto"/>
        <w:jc w:val="both"/>
        <w:rPr>
          <w:rFonts w:ascii="Arial" w:hAnsi="Arial" w:cs="Arial"/>
          <w:sz w:val="24"/>
          <w:szCs w:val="24"/>
        </w:rPr>
      </w:pPr>
    </w:p>
    <w:p w14:paraId="51AACC0E" w14:textId="6652AE0E" w:rsidR="00D42E4E" w:rsidRPr="009451FB" w:rsidRDefault="00B6379A" w:rsidP="009451FB">
      <w:pPr>
        <w:spacing w:line="240" w:lineRule="auto"/>
        <w:jc w:val="both"/>
        <w:rPr>
          <w:rFonts w:ascii="Arial" w:hAnsi="Arial" w:cs="Arial"/>
          <w:b/>
          <w:bCs/>
          <w:sz w:val="24"/>
          <w:szCs w:val="24"/>
        </w:rPr>
      </w:pPr>
      <w:r w:rsidRPr="009451FB">
        <w:rPr>
          <w:rFonts w:ascii="Arial" w:hAnsi="Arial" w:cs="Arial"/>
          <w:b/>
          <w:bCs/>
          <w:sz w:val="24"/>
          <w:szCs w:val="24"/>
        </w:rPr>
        <w:t>2.</w:t>
      </w:r>
      <w:r w:rsidR="001D244D" w:rsidRPr="009451FB">
        <w:rPr>
          <w:rFonts w:ascii="Arial" w:hAnsi="Arial" w:cs="Arial"/>
          <w:b/>
          <w:bCs/>
          <w:sz w:val="24"/>
          <w:szCs w:val="24"/>
        </w:rPr>
        <w:t>7</w:t>
      </w:r>
      <w:r w:rsidRPr="009451FB">
        <w:rPr>
          <w:rFonts w:ascii="Arial" w:hAnsi="Arial" w:cs="Arial"/>
          <w:b/>
          <w:bCs/>
          <w:sz w:val="24"/>
          <w:szCs w:val="24"/>
        </w:rPr>
        <w:t>.</w:t>
      </w:r>
      <w:r w:rsidR="001D244D" w:rsidRPr="009451FB">
        <w:rPr>
          <w:rFonts w:ascii="Arial" w:hAnsi="Arial" w:cs="Arial"/>
          <w:b/>
          <w:bCs/>
          <w:sz w:val="24"/>
          <w:szCs w:val="24"/>
        </w:rPr>
        <w:t xml:space="preserve"> </w:t>
      </w:r>
      <w:r w:rsidR="00D42E4E" w:rsidRPr="009451FB">
        <w:rPr>
          <w:rFonts w:ascii="Arial" w:hAnsi="Arial" w:cs="Arial"/>
          <w:b/>
          <w:bCs/>
          <w:sz w:val="24"/>
          <w:szCs w:val="24"/>
        </w:rPr>
        <w:t>Estructura de los hogares</w:t>
      </w:r>
    </w:p>
    <w:p w14:paraId="7B1C3EC8" w14:textId="16395665" w:rsidR="00B21B60" w:rsidRPr="009451FB" w:rsidRDefault="00B21B60" w:rsidP="009451FB">
      <w:pPr>
        <w:spacing w:after="168" w:line="240" w:lineRule="auto"/>
        <w:jc w:val="both"/>
        <w:outlineLvl w:val="1"/>
        <w:rPr>
          <w:rFonts w:ascii="Arial" w:eastAsia="Times New Roman" w:hAnsi="Arial" w:cs="Arial"/>
          <w:sz w:val="24"/>
          <w:szCs w:val="24"/>
          <w:lang w:eastAsia="es-AR"/>
        </w:rPr>
      </w:pPr>
      <w:r w:rsidRPr="009451FB">
        <w:rPr>
          <w:rFonts w:ascii="Arial" w:eastAsia="Times New Roman" w:hAnsi="Arial" w:cs="Arial"/>
          <w:b/>
          <w:bCs/>
          <w:sz w:val="24"/>
          <w:szCs w:val="24"/>
          <w:lang w:eastAsia="es-AR"/>
        </w:rPr>
        <w:t>Porcentaje de personas que trabajan o buscan trabajo según género y tenencia de hijos. Aglomerados urbanos. 2003 -2017.</w:t>
      </w:r>
      <w:r w:rsidR="003A3F52" w:rsidRPr="009451FB">
        <w:rPr>
          <w:rFonts w:ascii="Arial" w:eastAsia="Times New Roman" w:hAnsi="Arial" w:cs="Arial"/>
          <w:b/>
          <w:bCs/>
          <w:sz w:val="24"/>
          <w:szCs w:val="24"/>
          <w:lang w:eastAsia="es-AR"/>
        </w:rPr>
        <w:t xml:space="preserve"> Fuente CIPPEC</w:t>
      </w:r>
    </w:p>
    <w:p w14:paraId="05A17A11" w14:textId="77777777" w:rsidR="00B21B60" w:rsidRPr="009451FB" w:rsidRDefault="00B21B60" w:rsidP="009451FB">
      <w:pPr>
        <w:spacing w:before="100" w:beforeAutospacing="1" w:after="100" w:afterAutospacing="1" w:line="240" w:lineRule="auto"/>
        <w:jc w:val="both"/>
        <w:outlineLvl w:val="3"/>
        <w:rPr>
          <w:rFonts w:ascii="Arial" w:eastAsia="Times New Roman" w:hAnsi="Arial" w:cs="Arial"/>
          <w:sz w:val="24"/>
          <w:szCs w:val="24"/>
          <w:lang w:eastAsia="es-AR"/>
        </w:rPr>
      </w:pPr>
      <w:r w:rsidRPr="009451FB">
        <w:rPr>
          <w:rFonts w:ascii="Arial" w:eastAsia="Times New Roman" w:hAnsi="Arial" w:cs="Arial"/>
          <w:sz w:val="24"/>
          <w:szCs w:val="24"/>
          <w:lang w:eastAsia="es-AR"/>
        </w:rPr>
        <w:t>Pese a la postergación de la maternidad, la caída en la cantidad de hijos de las mujeres y la mejora de su nivel educativo, la participación laboral de las mujeres se mantuvo prácticamente constante desde principios de la década del 2000.</w:t>
      </w:r>
    </w:p>
    <w:p w14:paraId="5CD5FA7A" w14:textId="77777777" w:rsidR="00B21B60" w:rsidRPr="009451FB" w:rsidRDefault="00B21B60" w:rsidP="009451FB">
      <w:pPr>
        <w:spacing w:before="100" w:beforeAutospacing="1" w:after="100" w:afterAutospacing="1"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La proporción de mujeres que forman parte del mercado de trabajo es mucho menor que la de varones en las edades reproductivas. La posibilidad de ser madre parece constituir un obstáculo para la participación plena de las mujeres en la economía, a diferencia de la paternidad.</w:t>
      </w:r>
    </w:p>
    <w:p w14:paraId="17F6F2D0" w14:textId="77777777" w:rsidR="00B21B60" w:rsidRPr="009451FB" w:rsidRDefault="00B21B60"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La brecha de participación laboral entre varones y mujeres aumenta entre aquellos que tienen hijos. Desde 2003, los varones con hijos son el grupo que alcanza mayores niveles de participación laboral (en torno al 95%), le siguen los varones sin hijos (entre el 85% y 90%). Muy por debajo se encuentran las mujeres sin hijos (entre el 65% y 70%) y quienes menos participan del mercado de trabajo son las mujeres madres (en torno al 60%). Incluso cuando las mujeres logran participar del mercado de trabajo, ellas tienen mayores probabilidades de transitar a la informalidad, estar desocupadas o trabajar en la economía informal.</w:t>
      </w:r>
    </w:p>
    <w:p w14:paraId="35549073" w14:textId="0E135C59" w:rsidR="00B21B60" w:rsidRPr="009451FB" w:rsidRDefault="00B21B60" w:rsidP="009451FB">
      <w:pPr>
        <w:spacing w:line="240" w:lineRule="auto"/>
        <w:jc w:val="both"/>
        <w:rPr>
          <w:rFonts w:ascii="Arial" w:hAnsi="Arial" w:cs="Arial"/>
          <w:sz w:val="24"/>
          <w:szCs w:val="24"/>
        </w:rPr>
      </w:pPr>
    </w:p>
    <w:tbl>
      <w:tblPr>
        <w:tblpPr w:leftFromText="141" w:rightFromText="141" w:vertAnchor="text" w:horzAnchor="page" w:tblpX="1" w:tblpY="4802"/>
        <w:tblW w:w="17321" w:type="dxa"/>
        <w:tblCellMar>
          <w:left w:w="70" w:type="dxa"/>
          <w:right w:w="70" w:type="dxa"/>
        </w:tblCellMar>
        <w:tblLook w:val="04A0" w:firstRow="1" w:lastRow="0" w:firstColumn="1" w:lastColumn="0" w:noHBand="0" w:noVBand="1"/>
      </w:tblPr>
      <w:tblGrid>
        <w:gridCol w:w="882"/>
        <w:gridCol w:w="1000"/>
        <w:gridCol w:w="1200"/>
        <w:gridCol w:w="318"/>
        <w:gridCol w:w="882"/>
        <w:gridCol w:w="400"/>
        <w:gridCol w:w="1110"/>
        <w:gridCol w:w="182"/>
        <w:gridCol w:w="1332"/>
        <w:gridCol w:w="54"/>
        <w:gridCol w:w="229"/>
        <w:gridCol w:w="798"/>
        <w:gridCol w:w="402"/>
        <w:gridCol w:w="618"/>
        <w:gridCol w:w="582"/>
        <w:gridCol w:w="438"/>
        <w:gridCol w:w="229"/>
        <w:gridCol w:w="555"/>
        <w:gridCol w:w="706"/>
        <w:gridCol w:w="595"/>
        <w:gridCol w:w="1200"/>
        <w:gridCol w:w="207"/>
        <w:gridCol w:w="1200"/>
        <w:gridCol w:w="229"/>
        <w:gridCol w:w="1301"/>
        <w:gridCol w:w="229"/>
        <w:gridCol w:w="1200"/>
        <w:gridCol w:w="229"/>
      </w:tblGrid>
      <w:tr w:rsidR="00D42679" w:rsidRPr="009451FB" w14:paraId="72E5772D" w14:textId="77777777" w:rsidTr="00D42679">
        <w:trPr>
          <w:gridAfter w:val="9"/>
          <w:wAfter w:w="6176" w:type="dxa"/>
          <w:trHeight w:val="585"/>
        </w:trPr>
        <w:tc>
          <w:tcPr>
            <w:tcW w:w="11145" w:type="dxa"/>
            <w:gridSpan w:val="19"/>
            <w:tcBorders>
              <w:top w:val="nil"/>
              <w:left w:val="nil"/>
              <w:bottom w:val="nil"/>
              <w:right w:val="nil"/>
            </w:tcBorders>
            <w:shd w:val="clear" w:color="auto" w:fill="auto"/>
            <w:vAlign w:val="bottom"/>
            <w:hideMark/>
          </w:tcPr>
          <w:p w14:paraId="241FCC18" w14:textId="77777777" w:rsidR="00D42679" w:rsidRPr="009451FB" w:rsidRDefault="00D42679" w:rsidP="009451FB">
            <w:pPr>
              <w:spacing w:after="0" w:line="240" w:lineRule="auto"/>
              <w:jc w:val="both"/>
              <w:rPr>
                <w:rFonts w:ascii="Arial" w:eastAsia="Times New Roman" w:hAnsi="Arial" w:cs="Arial"/>
                <w:sz w:val="24"/>
                <w:szCs w:val="24"/>
                <w:lang w:eastAsia="es-AR"/>
              </w:rPr>
            </w:pPr>
            <w:bookmarkStart w:id="5" w:name="RANGE!A1"/>
            <w:r w:rsidRPr="009451FB">
              <w:rPr>
                <w:rFonts w:ascii="Arial" w:eastAsia="Times New Roman" w:hAnsi="Arial" w:cs="Arial"/>
                <w:sz w:val="24"/>
                <w:szCs w:val="24"/>
                <w:lang w:eastAsia="es-AR"/>
              </w:rPr>
              <w:lastRenderedPageBreak/>
              <w:t>Distribución porcentual de los hogares por cantidad de personas en el hogar y tamaño medio del hogar según zona. Ciudad de Buenos Aires. Año 2019</w:t>
            </w:r>
            <w:bookmarkEnd w:id="5"/>
          </w:p>
        </w:tc>
      </w:tr>
      <w:tr w:rsidR="00D42679" w:rsidRPr="009451FB" w14:paraId="4EBB08FD" w14:textId="77777777" w:rsidTr="00D42679">
        <w:trPr>
          <w:gridAfter w:val="9"/>
          <w:wAfter w:w="6176" w:type="dxa"/>
          <w:trHeight w:val="330"/>
        </w:trPr>
        <w:tc>
          <w:tcPr>
            <w:tcW w:w="3400" w:type="dxa"/>
            <w:gridSpan w:val="4"/>
            <w:vMerge w:val="restart"/>
            <w:tcBorders>
              <w:top w:val="single" w:sz="4" w:space="0" w:color="auto"/>
              <w:left w:val="nil"/>
              <w:bottom w:val="single" w:sz="4" w:space="0" w:color="000000"/>
              <w:right w:val="nil"/>
            </w:tcBorders>
            <w:shd w:val="clear" w:color="auto" w:fill="auto"/>
            <w:vAlign w:val="center"/>
            <w:hideMark/>
          </w:tcPr>
          <w:p w14:paraId="6819FDF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Zona</w:t>
            </w:r>
            <w:r w:rsidRPr="009451FB">
              <w:rPr>
                <w:rFonts w:ascii="Arial" w:eastAsia="Times New Roman" w:hAnsi="Arial" w:cs="Arial"/>
                <w:sz w:val="24"/>
                <w:szCs w:val="24"/>
                <w:vertAlign w:val="superscript"/>
                <w:lang w:eastAsia="es-AR"/>
              </w:rPr>
              <w:t>1</w:t>
            </w:r>
            <w:r w:rsidRPr="009451FB">
              <w:rPr>
                <w:rFonts w:ascii="Arial" w:eastAsia="Times New Roman" w:hAnsi="Arial" w:cs="Arial"/>
                <w:sz w:val="24"/>
                <w:szCs w:val="24"/>
                <w:lang w:eastAsia="es-AR"/>
              </w:rPr>
              <w:t xml:space="preserve"> </w:t>
            </w:r>
          </w:p>
        </w:tc>
        <w:tc>
          <w:tcPr>
            <w:tcW w:w="1200" w:type="dxa"/>
            <w:gridSpan w:val="2"/>
            <w:vMerge w:val="restart"/>
            <w:tcBorders>
              <w:top w:val="single" w:sz="4" w:space="0" w:color="auto"/>
              <w:left w:val="nil"/>
              <w:bottom w:val="single" w:sz="4" w:space="0" w:color="000000"/>
              <w:right w:val="nil"/>
            </w:tcBorders>
            <w:shd w:val="clear" w:color="auto" w:fill="auto"/>
            <w:vAlign w:val="center"/>
            <w:hideMark/>
          </w:tcPr>
          <w:p w14:paraId="4831006A"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5345" w:type="dxa"/>
            <w:gridSpan w:val="11"/>
            <w:tcBorders>
              <w:top w:val="single" w:sz="4" w:space="0" w:color="auto"/>
              <w:left w:val="nil"/>
              <w:bottom w:val="single" w:sz="4" w:space="0" w:color="auto"/>
              <w:right w:val="nil"/>
            </w:tcBorders>
            <w:shd w:val="clear" w:color="auto" w:fill="auto"/>
            <w:vAlign w:val="center"/>
            <w:hideMark/>
          </w:tcPr>
          <w:p w14:paraId="1AE9BCE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Cantidad de personas en el hogar</w:t>
            </w:r>
          </w:p>
        </w:tc>
        <w:tc>
          <w:tcPr>
            <w:tcW w:w="1200" w:type="dxa"/>
            <w:gridSpan w:val="2"/>
            <w:vMerge w:val="restart"/>
            <w:tcBorders>
              <w:top w:val="single" w:sz="4" w:space="0" w:color="auto"/>
              <w:left w:val="nil"/>
              <w:bottom w:val="single" w:sz="4" w:space="0" w:color="000000"/>
              <w:right w:val="nil"/>
            </w:tcBorders>
            <w:shd w:val="clear" w:color="auto" w:fill="auto"/>
            <w:vAlign w:val="center"/>
            <w:hideMark/>
          </w:tcPr>
          <w:p w14:paraId="13FF931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Tamaño medio del hogar</w:t>
            </w:r>
          </w:p>
        </w:tc>
      </w:tr>
      <w:tr w:rsidR="00D42679" w:rsidRPr="009451FB" w14:paraId="6DC7B238" w14:textId="77777777" w:rsidTr="00D42679">
        <w:trPr>
          <w:gridAfter w:val="9"/>
          <w:wAfter w:w="6176" w:type="dxa"/>
          <w:trHeight w:val="300"/>
        </w:trPr>
        <w:tc>
          <w:tcPr>
            <w:tcW w:w="3400" w:type="dxa"/>
            <w:gridSpan w:val="4"/>
            <w:vMerge/>
            <w:tcBorders>
              <w:top w:val="single" w:sz="4" w:space="0" w:color="auto"/>
              <w:left w:val="nil"/>
              <w:bottom w:val="single" w:sz="4" w:space="0" w:color="000000"/>
              <w:right w:val="nil"/>
            </w:tcBorders>
            <w:vAlign w:val="center"/>
            <w:hideMark/>
          </w:tcPr>
          <w:p w14:paraId="7854A2C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vMerge/>
            <w:tcBorders>
              <w:top w:val="single" w:sz="4" w:space="0" w:color="auto"/>
              <w:left w:val="nil"/>
              <w:bottom w:val="single" w:sz="4" w:space="0" w:color="000000"/>
              <w:right w:val="nil"/>
            </w:tcBorders>
            <w:vAlign w:val="center"/>
            <w:hideMark/>
          </w:tcPr>
          <w:p w14:paraId="61F4C5F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022" w:type="dxa"/>
            <w:gridSpan w:val="2"/>
            <w:tcBorders>
              <w:top w:val="nil"/>
              <w:left w:val="nil"/>
              <w:bottom w:val="single" w:sz="4" w:space="0" w:color="auto"/>
              <w:right w:val="nil"/>
            </w:tcBorders>
            <w:shd w:val="clear" w:color="auto" w:fill="auto"/>
            <w:vAlign w:val="center"/>
            <w:hideMark/>
          </w:tcPr>
          <w:p w14:paraId="065A83E6"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w:t>
            </w:r>
          </w:p>
        </w:tc>
        <w:tc>
          <w:tcPr>
            <w:tcW w:w="1029" w:type="dxa"/>
            <w:tcBorders>
              <w:top w:val="nil"/>
              <w:left w:val="nil"/>
              <w:bottom w:val="single" w:sz="4" w:space="0" w:color="auto"/>
              <w:right w:val="nil"/>
            </w:tcBorders>
            <w:shd w:val="clear" w:color="auto" w:fill="auto"/>
            <w:vAlign w:val="center"/>
            <w:hideMark/>
          </w:tcPr>
          <w:p w14:paraId="5982BDC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w:t>
            </w:r>
          </w:p>
        </w:tc>
        <w:tc>
          <w:tcPr>
            <w:tcW w:w="1047" w:type="dxa"/>
            <w:gridSpan w:val="3"/>
            <w:tcBorders>
              <w:top w:val="nil"/>
              <w:left w:val="nil"/>
              <w:bottom w:val="single" w:sz="4" w:space="0" w:color="auto"/>
              <w:right w:val="nil"/>
            </w:tcBorders>
            <w:shd w:val="clear" w:color="auto" w:fill="auto"/>
            <w:vAlign w:val="center"/>
            <w:hideMark/>
          </w:tcPr>
          <w:p w14:paraId="07B6A5F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w:t>
            </w:r>
          </w:p>
        </w:tc>
        <w:tc>
          <w:tcPr>
            <w:tcW w:w="1020" w:type="dxa"/>
            <w:gridSpan w:val="2"/>
            <w:tcBorders>
              <w:top w:val="nil"/>
              <w:left w:val="nil"/>
              <w:bottom w:val="single" w:sz="4" w:space="0" w:color="auto"/>
              <w:right w:val="nil"/>
            </w:tcBorders>
            <w:shd w:val="clear" w:color="auto" w:fill="auto"/>
            <w:vAlign w:val="center"/>
            <w:hideMark/>
          </w:tcPr>
          <w:p w14:paraId="0509396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w:t>
            </w:r>
          </w:p>
        </w:tc>
        <w:tc>
          <w:tcPr>
            <w:tcW w:w="1020" w:type="dxa"/>
            <w:gridSpan w:val="2"/>
            <w:tcBorders>
              <w:top w:val="nil"/>
              <w:left w:val="nil"/>
              <w:bottom w:val="single" w:sz="4" w:space="0" w:color="auto"/>
              <w:right w:val="nil"/>
            </w:tcBorders>
            <w:shd w:val="clear" w:color="auto" w:fill="auto"/>
            <w:vAlign w:val="center"/>
            <w:hideMark/>
          </w:tcPr>
          <w:p w14:paraId="4DEB6A33"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xml:space="preserve">5 </w:t>
            </w:r>
            <w:proofErr w:type="spellStart"/>
            <w:r w:rsidRPr="009451FB">
              <w:rPr>
                <w:rFonts w:ascii="Arial" w:eastAsia="Times New Roman" w:hAnsi="Arial" w:cs="Arial"/>
                <w:sz w:val="24"/>
                <w:szCs w:val="24"/>
                <w:lang w:eastAsia="es-AR"/>
              </w:rPr>
              <w:t>ó</w:t>
            </w:r>
            <w:proofErr w:type="spellEnd"/>
            <w:r w:rsidRPr="009451FB">
              <w:rPr>
                <w:rFonts w:ascii="Arial" w:eastAsia="Times New Roman" w:hAnsi="Arial" w:cs="Arial"/>
                <w:sz w:val="24"/>
                <w:szCs w:val="24"/>
                <w:lang w:eastAsia="es-AR"/>
              </w:rPr>
              <w:t xml:space="preserve"> más</w:t>
            </w:r>
          </w:p>
        </w:tc>
        <w:tc>
          <w:tcPr>
            <w:tcW w:w="207" w:type="dxa"/>
            <w:tcBorders>
              <w:top w:val="nil"/>
              <w:left w:val="nil"/>
              <w:bottom w:val="single" w:sz="4" w:space="0" w:color="auto"/>
              <w:right w:val="nil"/>
            </w:tcBorders>
            <w:shd w:val="clear" w:color="auto" w:fill="auto"/>
            <w:vAlign w:val="center"/>
            <w:hideMark/>
          </w:tcPr>
          <w:p w14:paraId="5B55FB3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gridSpan w:val="2"/>
            <w:vMerge/>
            <w:tcBorders>
              <w:top w:val="single" w:sz="4" w:space="0" w:color="auto"/>
              <w:left w:val="nil"/>
              <w:bottom w:val="single" w:sz="4" w:space="0" w:color="000000"/>
              <w:right w:val="nil"/>
            </w:tcBorders>
            <w:vAlign w:val="center"/>
            <w:hideMark/>
          </w:tcPr>
          <w:p w14:paraId="0C9290B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0DD00A8B" w14:textId="77777777" w:rsidTr="00D42679">
        <w:trPr>
          <w:gridAfter w:val="9"/>
          <w:wAfter w:w="6176" w:type="dxa"/>
          <w:trHeight w:val="300"/>
        </w:trPr>
        <w:tc>
          <w:tcPr>
            <w:tcW w:w="3400" w:type="dxa"/>
            <w:gridSpan w:val="4"/>
            <w:tcBorders>
              <w:top w:val="nil"/>
              <w:left w:val="nil"/>
              <w:bottom w:val="nil"/>
              <w:right w:val="nil"/>
            </w:tcBorders>
            <w:shd w:val="clear" w:color="auto" w:fill="auto"/>
            <w:noWrap/>
            <w:vAlign w:val="bottom"/>
            <w:hideMark/>
          </w:tcPr>
          <w:p w14:paraId="210D0F73"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1200" w:type="dxa"/>
            <w:gridSpan w:val="2"/>
            <w:tcBorders>
              <w:top w:val="nil"/>
              <w:left w:val="nil"/>
              <w:bottom w:val="nil"/>
              <w:right w:val="nil"/>
            </w:tcBorders>
            <w:shd w:val="clear" w:color="auto" w:fill="auto"/>
            <w:noWrap/>
            <w:vAlign w:val="bottom"/>
            <w:hideMark/>
          </w:tcPr>
          <w:p w14:paraId="0D16610F"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022" w:type="dxa"/>
            <w:gridSpan w:val="2"/>
            <w:tcBorders>
              <w:top w:val="nil"/>
              <w:left w:val="nil"/>
              <w:bottom w:val="nil"/>
              <w:right w:val="nil"/>
            </w:tcBorders>
            <w:shd w:val="clear" w:color="auto" w:fill="auto"/>
            <w:noWrap/>
            <w:vAlign w:val="bottom"/>
            <w:hideMark/>
          </w:tcPr>
          <w:p w14:paraId="2E962B5B"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35,8</w:t>
            </w:r>
          </w:p>
        </w:tc>
        <w:tc>
          <w:tcPr>
            <w:tcW w:w="1029" w:type="dxa"/>
            <w:tcBorders>
              <w:top w:val="nil"/>
              <w:left w:val="nil"/>
              <w:bottom w:val="nil"/>
              <w:right w:val="nil"/>
            </w:tcBorders>
            <w:shd w:val="clear" w:color="auto" w:fill="auto"/>
            <w:noWrap/>
            <w:vAlign w:val="bottom"/>
            <w:hideMark/>
          </w:tcPr>
          <w:p w14:paraId="520A10A8"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27,0</w:t>
            </w:r>
          </w:p>
        </w:tc>
        <w:tc>
          <w:tcPr>
            <w:tcW w:w="1047" w:type="dxa"/>
            <w:gridSpan w:val="3"/>
            <w:tcBorders>
              <w:top w:val="nil"/>
              <w:left w:val="nil"/>
              <w:bottom w:val="nil"/>
              <w:right w:val="nil"/>
            </w:tcBorders>
            <w:shd w:val="clear" w:color="auto" w:fill="auto"/>
            <w:noWrap/>
            <w:vAlign w:val="bottom"/>
            <w:hideMark/>
          </w:tcPr>
          <w:p w14:paraId="672DEBA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16,2</w:t>
            </w:r>
          </w:p>
        </w:tc>
        <w:tc>
          <w:tcPr>
            <w:tcW w:w="1020" w:type="dxa"/>
            <w:gridSpan w:val="2"/>
            <w:tcBorders>
              <w:top w:val="nil"/>
              <w:left w:val="nil"/>
              <w:bottom w:val="nil"/>
              <w:right w:val="nil"/>
            </w:tcBorders>
            <w:shd w:val="clear" w:color="auto" w:fill="auto"/>
            <w:noWrap/>
            <w:vAlign w:val="bottom"/>
            <w:hideMark/>
          </w:tcPr>
          <w:p w14:paraId="67B536DC"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13,4</w:t>
            </w:r>
          </w:p>
        </w:tc>
        <w:tc>
          <w:tcPr>
            <w:tcW w:w="1020" w:type="dxa"/>
            <w:gridSpan w:val="2"/>
            <w:tcBorders>
              <w:top w:val="nil"/>
              <w:left w:val="nil"/>
              <w:bottom w:val="nil"/>
              <w:right w:val="nil"/>
            </w:tcBorders>
            <w:shd w:val="clear" w:color="auto" w:fill="auto"/>
            <w:noWrap/>
            <w:vAlign w:val="bottom"/>
            <w:hideMark/>
          </w:tcPr>
          <w:p w14:paraId="2E0678AE"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7,7</w:t>
            </w:r>
          </w:p>
        </w:tc>
        <w:tc>
          <w:tcPr>
            <w:tcW w:w="207" w:type="dxa"/>
            <w:tcBorders>
              <w:top w:val="nil"/>
              <w:left w:val="nil"/>
              <w:bottom w:val="nil"/>
              <w:right w:val="nil"/>
            </w:tcBorders>
            <w:shd w:val="clear" w:color="auto" w:fill="auto"/>
            <w:noWrap/>
            <w:vAlign w:val="bottom"/>
            <w:hideMark/>
          </w:tcPr>
          <w:p w14:paraId="49506E1F"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2D9D7CF8"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2,4</w:t>
            </w:r>
          </w:p>
        </w:tc>
      </w:tr>
      <w:tr w:rsidR="00D42679" w:rsidRPr="009451FB" w14:paraId="5DF7800D" w14:textId="77777777" w:rsidTr="00D42679">
        <w:trPr>
          <w:gridAfter w:val="9"/>
          <w:wAfter w:w="6176" w:type="dxa"/>
          <w:trHeight w:val="300"/>
        </w:trPr>
        <w:tc>
          <w:tcPr>
            <w:tcW w:w="3400" w:type="dxa"/>
            <w:gridSpan w:val="4"/>
            <w:tcBorders>
              <w:top w:val="nil"/>
              <w:left w:val="nil"/>
              <w:bottom w:val="nil"/>
              <w:right w:val="nil"/>
            </w:tcBorders>
            <w:shd w:val="clear" w:color="auto" w:fill="auto"/>
            <w:noWrap/>
            <w:vAlign w:val="bottom"/>
            <w:hideMark/>
          </w:tcPr>
          <w:p w14:paraId="01311ED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Norte</w:t>
            </w:r>
          </w:p>
        </w:tc>
        <w:tc>
          <w:tcPr>
            <w:tcW w:w="1200" w:type="dxa"/>
            <w:gridSpan w:val="2"/>
            <w:tcBorders>
              <w:top w:val="nil"/>
              <w:left w:val="nil"/>
              <w:bottom w:val="nil"/>
              <w:right w:val="nil"/>
            </w:tcBorders>
            <w:shd w:val="clear" w:color="auto" w:fill="auto"/>
            <w:noWrap/>
            <w:vAlign w:val="bottom"/>
            <w:hideMark/>
          </w:tcPr>
          <w:p w14:paraId="5477BA66"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022" w:type="dxa"/>
            <w:gridSpan w:val="2"/>
            <w:tcBorders>
              <w:top w:val="nil"/>
              <w:left w:val="nil"/>
              <w:bottom w:val="nil"/>
              <w:right w:val="nil"/>
            </w:tcBorders>
            <w:shd w:val="clear" w:color="auto" w:fill="auto"/>
            <w:noWrap/>
            <w:vAlign w:val="bottom"/>
            <w:hideMark/>
          </w:tcPr>
          <w:p w14:paraId="1036B4AC"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49,4</w:t>
            </w:r>
          </w:p>
        </w:tc>
        <w:tc>
          <w:tcPr>
            <w:tcW w:w="1029" w:type="dxa"/>
            <w:tcBorders>
              <w:top w:val="nil"/>
              <w:left w:val="nil"/>
              <w:bottom w:val="nil"/>
              <w:right w:val="nil"/>
            </w:tcBorders>
            <w:shd w:val="clear" w:color="auto" w:fill="auto"/>
            <w:noWrap/>
            <w:vAlign w:val="bottom"/>
            <w:hideMark/>
          </w:tcPr>
          <w:p w14:paraId="1DBDF2B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26,6</w:t>
            </w:r>
          </w:p>
        </w:tc>
        <w:tc>
          <w:tcPr>
            <w:tcW w:w="1047" w:type="dxa"/>
            <w:gridSpan w:val="3"/>
            <w:tcBorders>
              <w:top w:val="nil"/>
              <w:left w:val="nil"/>
              <w:bottom w:val="nil"/>
              <w:right w:val="nil"/>
            </w:tcBorders>
            <w:shd w:val="clear" w:color="auto" w:fill="auto"/>
            <w:noWrap/>
            <w:vAlign w:val="bottom"/>
            <w:hideMark/>
          </w:tcPr>
          <w:p w14:paraId="1B15343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12,3</w:t>
            </w:r>
          </w:p>
        </w:tc>
        <w:tc>
          <w:tcPr>
            <w:tcW w:w="1020" w:type="dxa"/>
            <w:gridSpan w:val="2"/>
            <w:tcBorders>
              <w:top w:val="nil"/>
              <w:left w:val="nil"/>
              <w:bottom w:val="nil"/>
              <w:right w:val="nil"/>
            </w:tcBorders>
            <w:shd w:val="clear" w:color="auto" w:fill="auto"/>
            <w:noWrap/>
            <w:vAlign w:val="bottom"/>
            <w:hideMark/>
          </w:tcPr>
          <w:p w14:paraId="178104BD"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8,7</w:t>
            </w:r>
          </w:p>
        </w:tc>
        <w:tc>
          <w:tcPr>
            <w:tcW w:w="1020" w:type="dxa"/>
            <w:gridSpan w:val="2"/>
            <w:tcBorders>
              <w:top w:val="nil"/>
              <w:left w:val="nil"/>
              <w:bottom w:val="nil"/>
              <w:right w:val="nil"/>
            </w:tcBorders>
            <w:shd w:val="clear" w:color="auto" w:fill="auto"/>
            <w:noWrap/>
            <w:vAlign w:val="bottom"/>
            <w:hideMark/>
          </w:tcPr>
          <w:p w14:paraId="4B9F899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3,0</w:t>
            </w:r>
          </w:p>
        </w:tc>
        <w:tc>
          <w:tcPr>
            <w:tcW w:w="207" w:type="dxa"/>
            <w:tcBorders>
              <w:top w:val="nil"/>
              <w:left w:val="nil"/>
              <w:bottom w:val="nil"/>
              <w:right w:val="nil"/>
            </w:tcBorders>
            <w:shd w:val="clear" w:color="auto" w:fill="auto"/>
            <w:noWrap/>
            <w:vAlign w:val="bottom"/>
            <w:hideMark/>
          </w:tcPr>
          <w:p w14:paraId="426D87BF"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c>
          <w:tcPr>
            <w:tcW w:w="1200" w:type="dxa"/>
            <w:gridSpan w:val="2"/>
            <w:tcBorders>
              <w:top w:val="nil"/>
              <w:left w:val="nil"/>
              <w:bottom w:val="nil"/>
              <w:right w:val="nil"/>
            </w:tcBorders>
            <w:shd w:val="clear" w:color="auto" w:fill="auto"/>
            <w:noWrap/>
            <w:vAlign w:val="bottom"/>
            <w:hideMark/>
          </w:tcPr>
          <w:p w14:paraId="7EFD7ED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1,9</w:t>
            </w:r>
          </w:p>
        </w:tc>
      </w:tr>
      <w:tr w:rsidR="00D42679" w:rsidRPr="009451FB" w14:paraId="1E85B1B1" w14:textId="77777777" w:rsidTr="00D42679">
        <w:trPr>
          <w:gridAfter w:val="9"/>
          <w:wAfter w:w="6176" w:type="dxa"/>
          <w:trHeight w:val="300"/>
        </w:trPr>
        <w:tc>
          <w:tcPr>
            <w:tcW w:w="3400" w:type="dxa"/>
            <w:gridSpan w:val="4"/>
            <w:tcBorders>
              <w:top w:val="nil"/>
              <w:left w:val="nil"/>
              <w:bottom w:val="nil"/>
              <w:right w:val="nil"/>
            </w:tcBorders>
            <w:shd w:val="clear" w:color="auto" w:fill="auto"/>
            <w:noWrap/>
            <w:vAlign w:val="bottom"/>
            <w:hideMark/>
          </w:tcPr>
          <w:p w14:paraId="7AF8686F"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Centro</w:t>
            </w:r>
          </w:p>
        </w:tc>
        <w:tc>
          <w:tcPr>
            <w:tcW w:w="1200" w:type="dxa"/>
            <w:gridSpan w:val="2"/>
            <w:tcBorders>
              <w:top w:val="nil"/>
              <w:left w:val="nil"/>
              <w:bottom w:val="nil"/>
              <w:right w:val="nil"/>
            </w:tcBorders>
            <w:shd w:val="clear" w:color="auto" w:fill="auto"/>
            <w:noWrap/>
            <w:vAlign w:val="bottom"/>
            <w:hideMark/>
          </w:tcPr>
          <w:p w14:paraId="26CB51E1"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022" w:type="dxa"/>
            <w:gridSpan w:val="2"/>
            <w:tcBorders>
              <w:top w:val="nil"/>
              <w:left w:val="nil"/>
              <w:bottom w:val="nil"/>
              <w:right w:val="nil"/>
            </w:tcBorders>
            <w:shd w:val="clear" w:color="auto" w:fill="auto"/>
            <w:noWrap/>
            <w:vAlign w:val="bottom"/>
            <w:hideMark/>
          </w:tcPr>
          <w:p w14:paraId="6110D96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35,7</w:t>
            </w:r>
          </w:p>
        </w:tc>
        <w:tc>
          <w:tcPr>
            <w:tcW w:w="1029" w:type="dxa"/>
            <w:tcBorders>
              <w:top w:val="nil"/>
              <w:left w:val="nil"/>
              <w:bottom w:val="nil"/>
              <w:right w:val="nil"/>
            </w:tcBorders>
            <w:shd w:val="clear" w:color="auto" w:fill="auto"/>
            <w:noWrap/>
            <w:vAlign w:val="bottom"/>
            <w:hideMark/>
          </w:tcPr>
          <w:p w14:paraId="5E718595"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27,5</w:t>
            </w:r>
          </w:p>
        </w:tc>
        <w:tc>
          <w:tcPr>
            <w:tcW w:w="1047" w:type="dxa"/>
            <w:gridSpan w:val="3"/>
            <w:tcBorders>
              <w:top w:val="nil"/>
              <w:left w:val="nil"/>
              <w:bottom w:val="nil"/>
              <w:right w:val="nil"/>
            </w:tcBorders>
            <w:shd w:val="clear" w:color="auto" w:fill="auto"/>
            <w:noWrap/>
            <w:vAlign w:val="bottom"/>
            <w:hideMark/>
          </w:tcPr>
          <w:p w14:paraId="441E894F"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16,9</w:t>
            </w:r>
          </w:p>
        </w:tc>
        <w:tc>
          <w:tcPr>
            <w:tcW w:w="1020" w:type="dxa"/>
            <w:gridSpan w:val="2"/>
            <w:tcBorders>
              <w:top w:val="nil"/>
              <w:left w:val="nil"/>
              <w:bottom w:val="nil"/>
              <w:right w:val="nil"/>
            </w:tcBorders>
            <w:shd w:val="clear" w:color="auto" w:fill="auto"/>
            <w:noWrap/>
            <w:vAlign w:val="bottom"/>
            <w:hideMark/>
          </w:tcPr>
          <w:p w14:paraId="62866FE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13,4</w:t>
            </w:r>
          </w:p>
        </w:tc>
        <w:tc>
          <w:tcPr>
            <w:tcW w:w="1020" w:type="dxa"/>
            <w:gridSpan w:val="2"/>
            <w:tcBorders>
              <w:top w:val="nil"/>
              <w:left w:val="nil"/>
              <w:bottom w:val="nil"/>
              <w:right w:val="nil"/>
            </w:tcBorders>
            <w:shd w:val="clear" w:color="auto" w:fill="auto"/>
            <w:noWrap/>
            <w:vAlign w:val="bottom"/>
            <w:hideMark/>
          </w:tcPr>
          <w:p w14:paraId="5A806A81"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6,5</w:t>
            </w:r>
          </w:p>
        </w:tc>
        <w:tc>
          <w:tcPr>
            <w:tcW w:w="207" w:type="dxa"/>
            <w:tcBorders>
              <w:top w:val="nil"/>
              <w:left w:val="nil"/>
              <w:bottom w:val="nil"/>
              <w:right w:val="nil"/>
            </w:tcBorders>
            <w:shd w:val="clear" w:color="auto" w:fill="auto"/>
            <w:noWrap/>
            <w:vAlign w:val="bottom"/>
            <w:hideMark/>
          </w:tcPr>
          <w:p w14:paraId="0B82B26E"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3003D817"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2,3</w:t>
            </w:r>
          </w:p>
        </w:tc>
      </w:tr>
      <w:tr w:rsidR="00D42679" w:rsidRPr="009451FB" w14:paraId="43E158D4" w14:textId="77777777" w:rsidTr="00D42679">
        <w:trPr>
          <w:gridAfter w:val="9"/>
          <w:wAfter w:w="6176" w:type="dxa"/>
          <w:trHeight w:val="300"/>
        </w:trPr>
        <w:tc>
          <w:tcPr>
            <w:tcW w:w="3400" w:type="dxa"/>
            <w:gridSpan w:val="4"/>
            <w:tcBorders>
              <w:top w:val="nil"/>
              <w:left w:val="nil"/>
              <w:bottom w:val="single" w:sz="4" w:space="0" w:color="auto"/>
              <w:right w:val="nil"/>
            </w:tcBorders>
            <w:shd w:val="clear" w:color="auto" w:fill="auto"/>
            <w:noWrap/>
            <w:vAlign w:val="bottom"/>
            <w:hideMark/>
          </w:tcPr>
          <w:p w14:paraId="09FE83C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Sur</w:t>
            </w:r>
          </w:p>
        </w:tc>
        <w:tc>
          <w:tcPr>
            <w:tcW w:w="1200" w:type="dxa"/>
            <w:gridSpan w:val="2"/>
            <w:tcBorders>
              <w:top w:val="nil"/>
              <w:left w:val="nil"/>
              <w:bottom w:val="single" w:sz="4" w:space="0" w:color="auto"/>
              <w:right w:val="nil"/>
            </w:tcBorders>
            <w:shd w:val="clear" w:color="auto" w:fill="auto"/>
            <w:noWrap/>
            <w:vAlign w:val="bottom"/>
            <w:hideMark/>
          </w:tcPr>
          <w:p w14:paraId="04125724"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022" w:type="dxa"/>
            <w:gridSpan w:val="2"/>
            <w:tcBorders>
              <w:top w:val="nil"/>
              <w:left w:val="nil"/>
              <w:bottom w:val="single" w:sz="4" w:space="0" w:color="auto"/>
              <w:right w:val="nil"/>
            </w:tcBorders>
            <w:shd w:val="clear" w:color="auto" w:fill="auto"/>
            <w:noWrap/>
            <w:vAlign w:val="bottom"/>
            <w:hideMark/>
          </w:tcPr>
          <w:p w14:paraId="4EA5BE7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19,6</w:t>
            </w:r>
          </w:p>
        </w:tc>
        <w:tc>
          <w:tcPr>
            <w:tcW w:w="1029" w:type="dxa"/>
            <w:tcBorders>
              <w:top w:val="nil"/>
              <w:left w:val="nil"/>
              <w:bottom w:val="single" w:sz="4" w:space="0" w:color="auto"/>
              <w:right w:val="nil"/>
            </w:tcBorders>
            <w:shd w:val="clear" w:color="auto" w:fill="auto"/>
            <w:noWrap/>
            <w:vAlign w:val="bottom"/>
            <w:hideMark/>
          </w:tcPr>
          <w:p w14:paraId="4789CD6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26,3</w:t>
            </w:r>
          </w:p>
        </w:tc>
        <w:tc>
          <w:tcPr>
            <w:tcW w:w="1047" w:type="dxa"/>
            <w:gridSpan w:val="3"/>
            <w:tcBorders>
              <w:top w:val="nil"/>
              <w:left w:val="nil"/>
              <w:bottom w:val="single" w:sz="4" w:space="0" w:color="auto"/>
              <w:right w:val="nil"/>
            </w:tcBorders>
            <w:shd w:val="clear" w:color="auto" w:fill="auto"/>
            <w:noWrap/>
            <w:vAlign w:val="bottom"/>
            <w:hideMark/>
          </w:tcPr>
          <w:p w14:paraId="0C98C16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18,7</w:t>
            </w:r>
          </w:p>
        </w:tc>
        <w:tc>
          <w:tcPr>
            <w:tcW w:w="1020" w:type="dxa"/>
            <w:gridSpan w:val="2"/>
            <w:tcBorders>
              <w:top w:val="nil"/>
              <w:left w:val="nil"/>
              <w:bottom w:val="single" w:sz="4" w:space="0" w:color="auto"/>
              <w:right w:val="nil"/>
            </w:tcBorders>
            <w:shd w:val="clear" w:color="auto" w:fill="auto"/>
            <w:noWrap/>
            <w:vAlign w:val="bottom"/>
            <w:hideMark/>
          </w:tcPr>
          <w:p w14:paraId="5B406AF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18,9</w:t>
            </w:r>
          </w:p>
        </w:tc>
        <w:tc>
          <w:tcPr>
            <w:tcW w:w="1020" w:type="dxa"/>
            <w:gridSpan w:val="2"/>
            <w:tcBorders>
              <w:top w:val="nil"/>
              <w:left w:val="nil"/>
              <w:bottom w:val="single" w:sz="4" w:space="0" w:color="auto"/>
              <w:right w:val="nil"/>
            </w:tcBorders>
            <w:shd w:val="clear" w:color="auto" w:fill="auto"/>
            <w:noWrap/>
            <w:vAlign w:val="bottom"/>
            <w:hideMark/>
          </w:tcPr>
          <w:p w14:paraId="5154DB8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16,5</w:t>
            </w:r>
          </w:p>
        </w:tc>
        <w:tc>
          <w:tcPr>
            <w:tcW w:w="207" w:type="dxa"/>
            <w:tcBorders>
              <w:top w:val="nil"/>
              <w:left w:val="nil"/>
              <w:bottom w:val="single" w:sz="4" w:space="0" w:color="auto"/>
              <w:right w:val="nil"/>
            </w:tcBorders>
            <w:shd w:val="clear" w:color="auto" w:fill="auto"/>
            <w:noWrap/>
            <w:vAlign w:val="bottom"/>
            <w:hideMark/>
          </w:tcPr>
          <w:p w14:paraId="3F759FC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gridSpan w:val="2"/>
            <w:tcBorders>
              <w:top w:val="nil"/>
              <w:left w:val="nil"/>
              <w:bottom w:val="single" w:sz="4" w:space="0" w:color="auto"/>
              <w:right w:val="nil"/>
            </w:tcBorders>
            <w:shd w:val="clear" w:color="auto" w:fill="auto"/>
            <w:noWrap/>
            <w:vAlign w:val="bottom"/>
            <w:hideMark/>
          </w:tcPr>
          <w:p w14:paraId="1E8087A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3,0</w:t>
            </w:r>
          </w:p>
        </w:tc>
      </w:tr>
      <w:tr w:rsidR="00D42679" w:rsidRPr="009451FB" w14:paraId="14B4C4DB" w14:textId="77777777" w:rsidTr="00D42679">
        <w:trPr>
          <w:gridAfter w:val="9"/>
          <w:wAfter w:w="6176" w:type="dxa"/>
          <w:trHeight w:val="300"/>
        </w:trPr>
        <w:tc>
          <w:tcPr>
            <w:tcW w:w="8718" w:type="dxa"/>
            <w:gridSpan w:val="14"/>
            <w:tcBorders>
              <w:top w:val="nil"/>
              <w:left w:val="nil"/>
              <w:bottom w:val="nil"/>
              <w:right w:val="nil"/>
            </w:tcBorders>
            <w:shd w:val="clear" w:color="auto" w:fill="auto"/>
            <w:noWrap/>
            <w:vAlign w:val="bottom"/>
            <w:hideMark/>
          </w:tcPr>
          <w:p w14:paraId="37198F36"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1</w:t>
            </w:r>
            <w:r w:rsidRPr="009451FB">
              <w:rPr>
                <w:rFonts w:ascii="Arial" w:eastAsia="Times New Roman" w:hAnsi="Arial" w:cs="Arial"/>
                <w:sz w:val="24"/>
                <w:szCs w:val="24"/>
                <w:lang w:eastAsia="es-AR"/>
              </w:rPr>
              <w:t xml:space="preserve"> Zona norte comprende las comunas: 2, 13, 14; zona centro: 1, 3, 5, 6, 7, 11, 12, 15; zona sur: 4, 8, 9, 10</w:t>
            </w:r>
          </w:p>
        </w:tc>
        <w:tc>
          <w:tcPr>
            <w:tcW w:w="1020" w:type="dxa"/>
            <w:gridSpan w:val="2"/>
            <w:tcBorders>
              <w:top w:val="nil"/>
              <w:left w:val="nil"/>
              <w:bottom w:val="nil"/>
              <w:right w:val="nil"/>
            </w:tcBorders>
            <w:shd w:val="clear" w:color="auto" w:fill="auto"/>
            <w:noWrap/>
            <w:vAlign w:val="bottom"/>
            <w:hideMark/>
          </w:tcPr>
          <w:p w14:paraId="6A97EE6B"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61A27CF9"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31A15132"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6E8DBCA5" w14:textId="77777777" w:rsidTr="00D42679">
        <w:trPr>
          <w:gridAfter w:val="9"/>
          <w:wAfter w:w="6176" w:type="dxa"/>
          <w:trHeight w:val="300"/>
        </w:trPr>
        <w:tc>
          <w:tcPr>
            <w:tcW w:w="9738" w:type="dxa"/>
            <w:gridSpan w:val="16"/>
            <w:tcBorders>
              <w:top w:val="nil"/>
              <w:left w:val="nil"/>
              <w:bottom w:val="nil"/>
              <w:right w:val="nil"/>
            </w:tcBorders>
            <w:shd w:val="clear" w:color="auto" w:fill="auto"/>
            <w:noWrap/>
            <w:vAlign w:val="bottom"/>
            <w:hideMark/>
          </w:tcPr>
          <w:p w14:paraId="75F0C94A" w14:textId="77777777" w:rsidR="00D42679" w:rsidRPr="009451FB" w:rsidRDefault="00D42679" w:rsidP="009451FB">
            <w:pPr>
              <w:spacing w:after="0" w:line="240" w:lineRule="auto"/>
              <w:jc w:val="both"/>
              <w:rPr>
                <w:rFonts w:ascii="Arial" w:eastAsia="Times New Roman" w:hAnsi="Arial" w:cs="Arial"/>
                <w:sz w:val="24"/>
                <w:szCs w:val="24"/>
                <w:lang w:eastAsia="es-AR"/>
              </w:rPr>
            </w:pPr>
            <w:proofErr w:type="gramStart"/>
            <w:r w:rsidRPr="009451FB">
              <w:rPr>
                <w:rFonts w:ascii="Arial" w:eastAsia="Times New Roman" w:hAnsi="Arial" w:cs="Arial"/>
                <w:sz w:val="24"/>
                <w:szCs w:val="24"/>
                <w:vertAlign w:val="superscript"/>
                <w:lang w:eastAsia="es-AR"/>
              </w:rPr>
              <w:t>a</w:t>
            </w:r>
            <w:proofErr w:type="gramEnd"/>
            <w:r w:rsidRPr="009451FB">
              <w:rPr>
                <w:rFonts w:ascii="Arial" w:eastAsia="Times New Roman" w:hAnsi="Arial" w:cs="Arial"/>
                <w:sz w:val="24"/>
                <w:szCs w:val="24"/>
                <w:lang w:eastAsia="es-AR"/>
              </w:rPr>
              <w:t xml:space="preserve"> Valor de la celda con carácter indicativo (el coeficiente de variación estimado es mayor al 10% y menor o igual al 20%).</w:t>
            </w:r>
          </w:p>
        </w:tc>
        <w:tc>
          <w:tcPr>
            <w:tcW w:w="207" w:type="dxa"/>
            <w:tcBorders>
              <w:top w:val="nil"/>
              <w:left w:val="nil"/>
              <w:bottom w:val="nil"/>
              <w:right w:val="nil"/>
            </w:tcBorders>
            <w:shd w:val="clear" w:color="auto" w:fill="auto"/>
            <w:noWrap/>
            <w:vAlign w:val="bottom"/>
            <w:hideMark/>
          </w:tcPr>
          <w:p w14:paraId="316723E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5CD83C4A"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11EABF75" w14:textId="77777777" w:rsidTr="00D42679">
        <w:trPr>
          <w:gridAfter w:val="9"/>
          <w:wAfter w:w="6176" w:type="dxa"/>
          <w:trHeight w:val="300"/>
        </w:trPr>
        <w:tc>
          <w:tcPr>
            <w:tcW w:w="6651" w:type="dxa"/>
            <w:gridSpan w:val="9"/>
            <w:tcBorders>
              <w:top w:val="nil"/>
              <w:left w:val="nil"/>
              <w:bottom w:val="nil"/>
              <w:right w:val="nil"/>
            </w:tcBorders>
            <w:shd w:val="clear" w:color="auto" w:fill="auto"/>
            <w:noWrap/>
            <w:vAlign w:val="bottom"/>
            <w:hideMark/>
          </w:tcPr>
          <w:p w14:paraId="4E8AF70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Nota</w:t>
            </w:r>
            <w:r w:rsidRPr="009451FB">
              <w:rPr>
                <w:rFonts w:ascii="Arial" w:eastAsia="Times New Roman" w:hAnsi="Arial" w:cs="Arial"/>
                <w:sz w:val="24"/>
                <w:szCs w:val="24"/>
                <w:lang w:eastAsia="es-AR"/>
              </w:rPr>
              <w:t>: la suma de las cifras parciales difiere del total por procedimientos de redondeo.</w:t>
            </w:r>
          </w:p>
        </w:tc>
        <w:tc>
          <w:tcPr>
            <w:tcW w:w="1047" w:type="dxa"/>
            <w:gridSpan w:val="3"/>
            <w:tcBorders>
              <w:top w:val="nil"/>
              <w:left w:val="nil"/>
              <w:bottom w:val="nil"/>
              <w:right w:val="nil"/>
            </w:tcBorders>
            <w:shd w:val="clear" w:color="auto" w:fill="auto"/>
            <w:noWrap/>
            <w:vAlign w:val="bottom"/>
            <w:hideMark/>
          </w:tcPr>
          <w:p w14:paraId="4432E55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020" w:type="dxa"/>
            <w:gridSpan w:val="2"/>
            <w:tcBorders>
              <w:top w:val="nil"/>
              <w:left w:val="nil"/>
              <w:bottom w:val="nil"/>
              <w:right w:val="nil"/>
            </w:tcBorders>
            <w:shd w:val="clear" w:color="auto" w:fill="auto"/>
            <w:noWrap/>
            <w:vAlign w:val="bottom"/>
            <w:hideMark/>
          </w:tcPr>
          <w:p w14:paraId="6F9402E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020" w:type="dxa"/>
            <w:gridSpan w:val="2"/>
            <w:tcBorders>
              <w:top w:val="nil"/>
              <w:left w:val="nil"/>
              <w:bottom w:val="nil"/>
              <w:right w:val="nil"/>
            </w:tcBorders>
            <w:shd w:val="clear" w:color="auto" w:fill="auto"/>
            <w:noWrap/>
            <w:vAlign w:val="bottom"/>
            <w:hideMark/>
          </w:tcPr>
          <w:p w14:paraId="1C3F6342"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46CF95A5"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24ACBD66"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41154853" w14:textId="77777777" w:rsidTr="00D42679">
        <w:trPr>
          <w:gridAfter w:val="9"/>
          <w:wAfter w:w="6176" w:type="dxa"/>
          <w:trHeight w:val="300"/>
        </w:trPr>
        <w:tc>
          <w:tcPr>
            <w:tcW w:w="8718" w:type="dxa"/>
            <w:gridSpan w:val="14"/>
            <w:tcBorders>
              <w:top w:val="nil"/>
              <w:left w:val="nil"/>
              <w:bottom w:val="nil"/>
              <w:right w:val="nil"/>
            </w:tcBorders>
            <w:shd w:val="clear" w:color="auto" w:fill="auto"/>
            <w:noWrap/>
            <w:vAlign w:val="bottom"/>
            <w:hideMark/>
          </w:tcPr>
          <w:p w14:paraId="75BFB75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b/>
                <w:bCs/>
                <w:sz w:val="24"/>
                <w:szCs w:val="24"/>
                <w:lang w:eastAsia="es-AR"/>
              </w:rPr>
              <w:t>Fuente</w:t>
            </w:r>
            <w:r w:rsidRPr="009451FB">
              <w:rPr>
                <w:rFonts w:ascii="Arial" w:eastAsia="Times New Roman" w:hAnsi="Arial" w:cs="Arial"/>
                <w:sz w:val="24"/>
                <w:szCs w:val="24"/>
                <w:lang w:eastAsia="es-AR"/>
              </w:rPr>
              <w:t>: Dirección General de Estadística y Censos (Ministerio de Hacienda y Finanzas GCBA). EAH 2019</w:t>
            </w:r>
          </w:p>
          <w:p w14:paraId="56E90AD3"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p w14:paraId="45511D7D"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020" w:type="dxa"/>
            <w:gridSpan w:val="2"/>
            <w:tcBorders>
              <w:top w:val="nil"/>
              <w:left w:val="nil"/>
              <w:bottom w:val="nil"/>
              <w:right w:val="nil"/>
            </w:tcBorders>
            <w:shd w:val="clear" w:color="auto" w:fill="auto"/>
            <w:noWrap/>
            <w:vAlign w:val="bottom"/>
            <w:hideMark/>
          </w:tcPr>
          <w:p w14:paraId="53E52045"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207" w:type="dxa"/>
            <w:tcBorders>
              <w:top w:val="nil"/>
              <w:left w:val="nil"/>
              <w:bottom w:val="nil"/>
              <w:right w:val="nil"/>
            </w:tcBorders>
            <w:shd w:val="clear" w:color="auto" w:fill="auto"/>
            <w:noWrap/>
            <w:vAlign w:val="bottom"/>
            <w:hideMark/>
          </w:tcPr>
          <w:p w14:paraId="1813EB6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4F3BB82C"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3CF904BB" w14:textId="77777777" w:rsidTr="00D42679">
        <w:trPr>
          <w:gridBefore w:val="1"/>
          <w:wBefore w:w="882" w:type="dxa"/>
          <w:trHeight w:val="393"/>
        </w:trPr>
        <w:tc>
          <w:tcPr>
            <w:tcW w:w="16439" w:type="dxa"/>
            <w:gridSpan w:val="27"/>
            <w:tcBorders>
              <w:top w:val="nil"/>
              <w:left w:val="nil"/>
              <w:bottom w:val="single" w:sz="4" w:space="0" w:color="auto"/>
              <w:right w:val="nil"/>
            </w:tcBorders>
            <w:shd w:val="clear" w:color="auto" w:fill="auto"/>
            <w:noWrap/>
            <w:vAlign w:val="bottom"/>
            <w:hideMark/>
          </w:tcPr>
          <w:p w14:paraId="688477E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Distribución porcentual de los hogares particulares por tipo de hogar según zona. Ciudad de Buenos Aires. Año 2019</w:t>
            </w:r>
          </w:p>
        </w:tc>
      </w:tr>
      <w:tr w:rsidR="00D42679" w:rsidRPr="009451FB" w14:paraId="3AB8A595" w14:textId="77777777" w:rsidTr="00D42679">
        <w:trPr>
          <w:gridBefore w:val="1"/>
          <w:wBefore w:w="882" w:type="dxa"/>
          <w:trHeight w:val="393"/>
        </w:trPr>
        <w:tc>
          <w:tcPr>
            <w:tcW w:w="16439" w:type="dxa"/>
            <w:gridSpan w:val="27"/>
            <w:tcBorders>
              <w:top w:val="nil"/>
              <w:left w:val="nil"/>
              <w:bottom w:val="single" w:sz="4" w:space="0" w:color="auto"/>
              <w:right w:val="nil"/>
            </w:tcBorders>
            <w:shd w:val="clear" w:color="auto" w:fill="auto"/>
            <w:noWrap/>
            <w:vAlign w:val="bottom"/>
          </w:tcPr>
          <w:p w14:paraId="383740AB"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517DAF32" w14:textId="77777777" w:rsidTr="00D42679">
        <w:trPr>
          <w:gridBefore w:val="1"/>
          <w:wBefore w:w="882" w:type="dxa"/>
          <w:trHeight w:val="315"/>
        </w:trPr>
        <w:tc>
          <w:tcPr>
            <w:tcW w:w="1000" w:type="dxa"/>
            <w:vMerge w:val="restart"/>
            <w:tcBorders>
              <w:top w:val="nil"/>
              <w:left w:val="nil"/>
              <w:bottom w:val="single" w:sz="4" w:space="0" w:color="000000"/>
              <w:right w:val="nil"/>
            </w:tcBorders>
            <w:shd w:val="clear" w:color="auto" w:fill="auto"/>
            <w:vAlign w:val="center"/>
            <w:hideMark/>
          </w:tcPr>
          <w:p w14:paraId="58B50737"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Zona</w:t>
            </w:r>
            <w:r w:rsidRPr="009451FB">
              <w:rPr>
                <w:rFonts w:ascii="Arial" w:eastAsia="Times New Roman" w:hAnsi="Arial" w:cs="Arial"/>
                <w:sz w:val="24"/>
                <w:szCs w:val="24"/>
                <w:vertAlign w:val="superscript"/>
                <w:lang w:eastAsia="es-AR"/>
              </w:rPr>
              <w:t>1</w:t>
            </w:r>
          </w:p>
        </w:tc>
        <w:tc>
          <w:tcPr>
            <w:tcW w:w="1200" w:type="dxa"/>
            <w:vMerge w:val="restart"/>
            <w:tcBorders>
              <w:top w:val="nil"/>
              <w:left w:val="nil"/>
              <w:bottom w:val="single" w:sz="4" w:space="0" w:color="000000"/>
              <w:right w:val="nil"/>
            </w:tcBorders>
            <w:shd w:val="clear" w:color="auto" w:fill="auto"/>
            <w:vAlign w:val="center"/>
            <w:hideMark/>
          </w:tcPr>
          <w:p w14:paraId="33E2AAC3"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3818" w:type="dxa"/>
            <w:gridSpan w:val="8"/>
            <w:vMerge w:val="restart"/>
            <w:tcBorders>
              <w:top w:val="nil"/>
              <w:left w:val="nil"/>
              <w:bottom w:val="single" w:sz="4" w:space="0" w:color="000000"/>
              <w:right w:val="nil"/>
            </w:tcBorders>
            <w:shd w:val="clear" w:color="auto" w:fill="auto"/>
            <w:noWrap/>
            <w:vAlign w:val="center"/>
            <w:hideMark/>
          </w:tcPr>
          <w:p w14:paraId="19BDD641"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Hogar no familiar</w:t>
            </w:r>
          </w:p>
        </w:tc>
        <w:tc>
          <w:tcPr>
            <w:tcW w:w="10421" w:type="dxa"/>
            <w:gridSpan w:val="17"/>
            <w:tcBorders>
              <w:top w:val="single" w:sz="4" w:space="0" w:color="auto"/>
              <w:left w:val="nil"/>
              <w:bottom w:val="single" w:sz="4" w:space="0" w:color="auto"/>
              <w:right w:val="nil"/>
            </w:tcBorders>
            <w:shd w:val="clear" w:color="auto" w:fill="auto"/>
            <w:noWrap/>
            <w:vAlign w:val="bottom"/>
            <w:hideMark/>
          </w:tcPr>
          <w:p w14:paraId="22D1462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Hogar familiar</w:t>
            </w:r>
          </w:p>
        </w:tc>
      </w:tr>
      <w:tr w:rsidR="00D42679" w:rsidRPr="009451FB" w14:paraId="4B18439F" w14:textId="77777777" w:rsidTr="00D42679">
        <w:trPr>
          <w:gridBefore w:val="1"/>
          <w:wBefore w:w="882" w:type="dxa"/>
          <w:trHeight w:val="315"/>
        </w:trPr>
        <w:tc>
          <w:tcPr>
            <w:tcW w:w="1000" w:type="dxa"/>
            <w:vMerge/>
            <w:tcBorders>
              <w:top w:val="nil"/>
              <w:left w:val="nil"/>
              <w:bottom w:val="single" w:sz="4" w:space="0" w:color="000000"/>
              <w:right w:val="nil"/>
            </w:tcBorders>
            <w:vAlign w:val="center"/>
            <w:hideMark/>
          </w:tcPr>
          <w:p w14:paraId="5DB6E74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vMerge/>
            <w:tcBorders>
              <w:top w:val="nil"/>
              <w:left w:val="nil"/>
              <w:bottom w:val="single" w:sz="4" w:space="0" w:color="000000"/>
              <w:right w:val="nil"/>
            </w:tcBorders>
            <w:vAlign w:val="center"/>
            <w:hideMark/>
          </w:tcPr>
          <w:p w14:paraId="4CD29D8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3818" w:type="dxa"/>
            <w:gridSpan w:val="8"/>
            <w:vMerge/>
            <w:tcBorders>
              <w:top w:val="nil"/>
              <w:left w:val="nil"/>
              <w:bottom w:val="single" w:sz="4" w:space="0" w:color="000000"/>
              <w:right w:val="nil"/>
            </w:tcBorders>
            <w:vAlign w:val="center"/>
            <w:hideMark/>
          </w:tcPr>
          <w:p w14:paraId="46F11F20"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vMerge w:val="restart"/>
            <w:tcBorders>
              <w:top w:val="nil"/>
              <w:left w:val="nil"/>
              <w:bottom w:val="single" w:sz="4" w:space="0" w:color="000000"/>
              <w:right w:val="nil"/>
            </w:tcBorders>
            <w:shd w:val="clear" w:color="auto" w:fill="auto"/>
            <w:vAlign w:val="center"/>
            <w:hideMark/>
          </w:tcPr>
          <w:p w14:paraId="2B43F07C"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3600" w:type="dxa"/>
            <w:gridSpan w:val="7"/>
            <w:tcBorders>
              <w:top w:val="nil"/>
              <w:left w:val="nil"/>
              <w:bottom w:val="single" w:sz="4" w:space="0" w:color="auto"/>
              <w:right w:val="nil"/>
            </w:tcBorders>
            <w:shd w:val="clear" w:color="auto" w:fill="auto"/>
            <w:noWrap/>
            <w:vAlign w:val="center"/>
            <w:hideMark/>
          </w:tcPr>
          <w:p w14:paraId="686D811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Hogar nuclear</w:t>
            </w:r>
          </w:p>
        </w:tc>
        <w:tc>
          <w:tcPr>
            <w:tcW w:w="5621" w:type="dxa"/>
            <w:gridSpan w:val="8"/>
            <w:tcBorders>
              <w:top w:val="single" w:sz="4" w:space="0" w:color="auto"/>
              <w:left w:val="nil"/>
              <w:bottom w:val="single" w:sz="4" w:space="0" w:color="auto"/>
              <w:right w:val="nil"/>
            </w:tcBorders>
            <w:shd w:val="clear" w:color="auto" w:fill="auto"/>
            <w:noWrap/>
            <w:vAlign w:val="center"/>
            <w:hideMark/>
          </w:tcPr>
          <w:p w14:paraId="4BFD2F9C"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Hogar extendido y compuesto</w:t>
            </w:r>
          </w:p>
        </w:tc>
      </w:tr>
      <w:tr w:rsidR="00D42679" w:rsidRPr="009451FB" w14:paraId="7C08B4F4" w14:textId="77777777" w:rsidTr="00D42679">
        <w:trPr>
          <w:gridBefore w:val="1"/>
          <w:wBefore w:w="882" w:type="dxa"/>
          <w:trHeight w:val="480"/>
        </w:trPr>
        <w:tc>
          <w:tcPr>
            <w:tcW w:w="1000" w:type="dxa"/>
            <w:vMerge/>
            <w:tcBorders>
              <w:top w:val="nil"/>
              <w:left w:val="nil"/>
              <w:bottom w:val="single" w:sz="4" w:space="0" w:color="000000"/>
              <w:right w:val="nil"/>
            </w:tcBorders>
            <w:vAlign w:val="center"/>
            <w:hideMark/>
          </w:tcPr>
          <w:p w14:paraId="7CE6FD54"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vMerge/>
            <w:tcBorders>
              <w:top w:val="nil"/>
              <w:left w:val="nil"/>
              <w:bottom w:val="single" w:sz="4" w:space="0" w:color="000000"/>
              <w:right w:val="nil"/>
            </w:tcBorders>
            <w:vAlign w:val="center"/>
            <w:hideMark/>
          </w:tcPr>
          <w:p w14:paraId="44918629"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gridSpan w:val="2"/>
            <w:tcBorders>
              <w:top w:val="nil"/>
              <w:left w:val="nil"/>
              <w:bottom w:val="single" w:sz="4" w:space="0" w:color="auto"/>
              <w:right w:val="nil"/>
            </w:tcBorders>
            <w:shd w:val="clear" w:color="auto" w:fill="auto"/>
            <w:vAlign w:val="center"/>
            <w:hideMark/>
          </w:tcPr>
          <w:p w14:paraId="1DD4BC79"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1200" w:type="dxa"/>
            <w:gridSpan w:val="2"/>
            <w:tcBorders>
              <w:top w:val="nil"/>
              <w:left w:val="nil"/>
              <w:bottom w:val="single" w:sz="4" w:space="0" w:color="auto"/>
              <w:right w:val="nil"/>
            </w:tcBorders>
            <w:shd w:val="clear" w:color="auto" w:fill="auto"/>
            <w:vAlign w:val="center"/>
            <w:hideMark/>
          </w:tcPr>
          <w:p w14:paraId="054F1ED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Unipersonal</w:t>
            </w:r>
            <w:r w:rsidRPr="009451FB">
              <w:rPr>
                <w:rFonts w:ascii="Arial" w:eastAsia="Times New Roman" w:hAnsi="Arial" w:cs="Arial"/>
                <w:sz w:val="24"/>
                <w:szCs w:val="24"/>
                <w:vertAlign w:val="superscript"/>
                <w:lang w:eastAsia="es-AR"/>
              </w:rPr>
              <w:t>2</w:t>
            </w:r>
          </w:p>
        </w:tc>
        <w:tc>
          <w:tcPr>
            <w:tcW w:w="1211" w:type="dxa"/>
            <w:gridSpan w:val="3"/>
            <w:tcBorders>
              <w:top w:val="nil"/>
              <w:left w:val="nil"/>
              <w:bottom w:val="single" w:sz="4" w:space="0" w:color="auto"/>
              <w:right w:val="nil"/>
            </w:tcBorders>
            <w:shd w:val="clear" w:color="auto" w:fill="auto"/>
            <w:vAlign w:val="center"/>
            <w:hideMark/>
          </w:tcPr>
          <w:p w14:paraId="475DD586"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Multipersonal no familiar</w:t>
            </w:r>
          </w:p>
        </w:tc>
        <w:tc>
          <w:tcPr>
            <w:tcW w:w="207" w:type="dxa"/>
            <w:tcBorders>
              <w:top w:val="nil"/>
              <w:left w:val="nil"/>
              <w:bottom w:val="single" w:sz="4" w:space="0" w:color="auto"/>
              <w:right w:val="nil"/>
            </w:tcBorders>
            <w:shd w:val="clear" w:color="auto" w:fill="auto"/>
            <w:vAlign w:val="center"/>
            <w:hideMark/>
          </w:tcPr>
          <w:p w14:paraId="75D545D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gridSpan w:val="2"/>
            <w:vMerge/>
            <w:tcBorders>
              <w:top w:val="nil"/>
              <w:left w:val="nil"/>
              <w:bottom w:val="single" w:sz="4" w:space="0" w:color="000000"/>
              <w:right w:val="nil"/>
            </w:tcBorders>
            <w:vAlign w:val="center"/>
            <w:hideMark/>
          </w:tcPr>
          <w:p w14:paraId="11E5A3AD"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gridSpan w:val="2"/>
            <w:tcBorders>
              <w:top w:val="nil"/>
              <w:left w:val="nil"/>
              <w:bottom w:val="single" w:sz="4" w:space="0" w:color="auto"/>
              <w:right w:val="nil"/>
            </w:tcBorders>
            <w:shd w:val="clear" w:color="auto" w:fill="auto"/>
            <w:vAlign w:val="center"/>
            <w:hideMark/>
          </w:tcPr>
          <w:p w14:paraId="31C4D17B"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1200" w:type="dxa"/>
            <w:gridSpan w:val="3"/>
            <w:tcBorders>
              <w:top w:val="nil"/>
              <w:left w:val="nil"/>
              <w:bottom w:val="single" w:sz="4" w:space="0" w:color="auto"/>
              <w:right w:val="nil"/>
            </w:tcBorders>
            <w:shd w:val="clear" w:color="auto" w:fill="auto"/>
            <w:vAlign w:val="center"/>
            <w:hideMark/>
          </w:tcPr>
          <w:p w14:paraId="66A526E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Núcleo completo</w:t>
            </w:r>
          </w:p>
        </w:tc>
        <w:tc>
          <w:tcPr>
            <w:tcW w:w="1200" w:type="dxa"/>
            <w:gridSpan w:val="2"/>
            <w:tcBorders>
              <w:top w:val="nil"/>
              <w:left w:val="nil"/>
              <w:bottom w:val="single" w:sz="4" w:space="0" w:color="auto"/>
              <w:right w:val="nil"/>
            </w:tcBorders>
            <w:shd w:val="clear" w:color="auto" w:fill="auto"/>
            <w:vAlign w:val="center"/>
            <w:hideMark/>
          </w:tcPr>
          <w:p w14:paraId="68D2A091"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Núcleo incompleto</w:t>
            </w:r>
          </w:p>
        </w:tc>
        <w:tc>
          <w:tcPr>
            <w:tcW w:w="1200" w:type="dxa"/>
            <w:tcBorders>
              <w:top w:val="nil"/>
              <w:left w:val="nil"/>
              <w:bottom w:val="single" w:sz="4" w:space="0" w:color="auto"/>
              <w:right w:val="nil"/>
            </w:tcBorders>
            <w:shd w:val="clear" w:color="auto" w:fill="auto"/>
            <w:vAlign w:val="center"/>
            <w:hideMark/>
          </w:tcPr>
          <w:p w14:paraId="7366D867"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200" w:type="dxa"/>
            <w:tcBorders>
              <w:top w:val="nil"/>
              <w:left w:val="nil"/>
              <w:bottom w:val="single" w:sz="4" w:space="0" w:color="auto"/>
              <w:right w:val="nil"/>
            </w:tcBorders>
            <w:shd w:val="clear" w:color="auto" w:fill="auto"/>
            <w:vAlign w:val="center"/>
            <w:hideMark/>
          </w:tcPr>
          <w:p w14:paraId="4B88DFAD"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 </w:t>
            </w:r>
          </w:p>
        </w:tc>
        <w:tc>
          <w:tcPr>
            <w:tcW w:w="1200" w:type="dxa"/>
            <w:tcBorders>
              <w:top w:val="nil"/>
              <w:left w:val="nil"/>
              <w:bottom w:val="single" w:sz="4" w:space="0" w:color="auto"/>
              <w:right w:val="nil"/>
            </w:tcBorders>
            <w:shd w:val="clear" w:color="auto" w:fill="auto"/>
            <w:vAlign w:val="center"/>
            <w:hideMark/>
          </w:tcPr>
          <w:p w14:paraId="5CF9DE37"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Núcleo completo</w:t>
            </w:r>
          </w:p>
        </w:tc>
        <w:tc>
          <w:tcPr>
            <w:tcW w:w="207" w:type="dxa"/>
            <w:tcBorders>
              <w:top w:val="nil"/>
              <w:left w:val="nil"/>
              <w:bottom w:val="single" w:sz="4" w:space="0" w:color="auto"/>
              <w:right w:val="nil"/>
            </w:tcBorders>
            <w:shd w:val="clear" w:color="auto" w:fill="auto"/>
            <w:vAlign w:val="center"/>
            <w:hideMark/>
          </w:tcPr>
          <w:p w14:paraId="78CED32C"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tcBorders>
              <w:top w:val="nil"/>
              <w:left w:val="nil"/>
              <w:bottom w:val="single" w:sz="4" w:space="0" w:color="auto"/>
              <w:right w:val="nil"/>
            </w:tcBorders>
            <w:shd w:val="clear" w:color="auto" w:fill="auto"/>
            <w:vAlign w:val="center"/>
            <w:hideMark/>
          </w:tcPr>
          <w:p w14:paraId="31882E1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Núcleo incompleto</w:t>
            </w:r>
          </w:p>
        </w:tc>
        <w:tc>
          <w:tcPr>
            <w:tcW w:w="207" w:type="dxa"/>
            <w:tcBorders>
              <w:top w:val="nil"/>
              <w:left w:val="nil"/>
              <w:bottom w:val="single" w:sz="4" w:space="0" w:color="auto"/>
              <w:right w:val="nil"/>
            </w:tcBorders>
            <w:shd w:val="clear" w:color="auto" w:fill="auto"/>
            <w:vAlign w:val="center"/>
            <w:hideMark/>
          </w:tcPr>
          <w:p w14:paraId="505D83A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tcBorders>
              <w:top w:val="nil"/>
              <w:left w:val="nil"/>
              <w:bottom w:val="single" w:sz="4" w:space="0" w:color="auto"/>
              <w:right w:val="nil"/>
            </w:tcBorders>
            <w:shd w:val="clear" w:color="auto" w:fill="auto"/>
            <w:vAlign w:val="center"/>
            <w:hideMark/>
          </w:tcPr>
          <w:p w14:paraId="2E912A5D"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Sin núcleo</w:t>
            </w:r>
          </w:p>
        </w:tc>
        <w:tc>
          <w:tcPr>
            <w:tcW w:w="207" w:type="dxa"/>
            <w:tcBorders>
              <w:top w:val="nil"/>
              <w:left w:val="nil"/>
              <w:bottom w:val="single" w:sz="4" w:space="0" w:color="auto"/>
              <w:right w:val="nil"/>
            </w:tcBorders>
            <w:shd w:val="clear" w:color="auto" w:fill="auto"/>
            <w:vAlign w:val="center"/>
            <w:hideMark/>
          </w:tcPr>
          <w:p w14:paraId="1212F333"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r>
      <w:tr w:rsidR="00D42679" w:rsidRPr="009451FB" w14:paraId="0B2ECBC3" w14:textId="77777777" w:rsidTr="00D42679">
        <w:trPr>
          <w:gridBefore w:val="1"/>
          <w:wBefore w:w="882" w:type="dxa"/>
          <w:trHeight w:val="300"/>
        </w:trPr>
        <w:tc>
          <w:tcPr>
            <w:tcW w:w="1000" w:type="dxa"/>
            <w:tcBorders>
              <w:top w:val="nil"/>
              <w:left w:val="nil"/>
              <w:bottom w:val="nil"/>
              <w:right w:val="nil"/>
            </w:tcBorders>
            <w:shd w:val="clear" w:color="auto" w:fill="auto"/>
            <w:hideMark/>
          </w:tcPr>
          <w:p w14:paraId="7512F524"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Total</w:t>
            </w:r>
          </w:p>
        </w:tc>
        <w:tc>
          <w:tcPr>
            <w:tcW w:w="1200" w:type="dxa"/>
            <w:tcBorders>
              <w:top w:val="nil"/>
              <w:left w:val="nil"/>
              <w:bottom w:val="nil"/>
              <w:right w:val="nil"/>
            </w:tcBorders>
            <w:shd w:val="clear" w:color="auto" w:fill="auto"/>
            <w:hideMark/>
          </w:tcPr>
          <w:p w14:paraId="735353B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200" w:type="dxa"/>
            <w:gridSpan w:val="2"/>
            <w:tcBorders>
              <w:top w:val="nil"/>
              <w:left w:val="nil"/>
              <w:bottom w:val="nil"/>
              <w:right w:val="nil"/>
            </w:tcBorders>
            <w:shd w:val="clear" w:color="auto" w:fill="auto"/>
            <w:hideMark/>
          </w:tcPr>
          <w:p w14:paraId="5EBEC9F9"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37,1</w:t>
            </w:r>
          </w:p>
        </w:tc>
        <w:tc>
          <w:tcPr>
            <w:tcW w:w="1200" w:type="dxa"/>
            <w:gridSpan w:val="2"/>
            <w:tcBorders>
              <w:top w:val="nil"/>
              <w:left w:val="nil"/>
              <w:bottom w:val="nil"/>
              <w:right w:val="nil"/>
            </w:tcBorders>
            <w:shd w:val="clear" w:color="auto" w:fill="auto"/>
            <w:hideMark/>
          </w:tcPr>
          <w:p w14:paraId="58574E77"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36,1</w:t>
            </w:r>
          </w:p>
        </w:tc>
        <w:tc>
          <w:tcPr>
            <w:tcW w:w="1211" w:type="dxa"/>
            <w:gridSpan w:val="3"/>
            <w:tcBorders>
              <w:top w:val="nil"/>
              <w:left w:val="nil"/>
              <w:bottom w:val="nil"/>
              <w:right w:val="nil"/>
            </w:tcBorders>
            <w:shd w:val="clear" w:color="auto" w:fill="auto"/>
            <w:hideMark/>
          </w:tcPr>
          <w:p w14:paraId="286A127C"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0,9</w:t>
            </w:r>
          </w:p>
        </w:tc>
        <w:tc>
          <w:tcPr>
            <w:tcW w:w="207" w:type="dxa"/>
            <w:tcBorders>
              <w:top w:val="nil"/>
              <w:left w:val="nil"/>
              <w:bottom w:val="nil"/>
              <w:right w:val="nil"/>
            </w:tcBorders>
            <w:shd w:val="clear" w:color="auto" w:fill="auto"/>
            <w:hideMark/>
          </w:tcPr>
          <w:p w14:paraId="0853DE11"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vertAlign w:val="superscript"/>
                <w:lang w:eastAsia="es-AR"/>
              </w:rPr>
              <w:t>a</w:t>
            </w:r>
          </w:p>
        </w:tc>
        <w:tc>
          <w:tcPr>
            <w:tcW w:w="1200" w:type="dxa"/>
            <w:gridSpan w:val="2"/>
            <w:tcBorders>
              <w:top w:val="nil"/>
              <w:left w:val="nil"/>
              <w:bottom w:val="nil"/>
              <w:right w:val="nil"/>
            </w:tcBorders>
            <w:shd w:val="clear" w:color="auto" w:fill="auto"/>
            <w:hideMark/>
          </w:tcPr>
          <w:p w14:paraId="147ADC7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62,9</w:t>
            </w:r>
          </w:p>
        </w:tc>
        <w:tc>
          <w:tcPr>
            <w:tcW w:w="1200" w:type="dxa"/>
            <w:gridSpan w:val="2"/>
            <w:tcBorders>
              <w:top w:val="nil"/>
              <w:left w:val="nil"/>
              <w:bottom w:val="nil"/>
              <w:right w:val="nil"/>
            </w:tcBorders>
            <w:shd w:val="clear" w:color="auto" w:fill="auto"/>
            <w:hideMark/>
          </w:tcPr>
          <w:p w14:paraId="4867793F"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52,5</w:t>
            </w:r>
          </w:p>
        </w:tc>
        <w:tc>
          <w:tcPr>
            <w:tcW w:w="1200" w:type="dxa"/>
            <w:gridSpan w:val="3"/>
            <w:tcBorders>
              <w:top w:val="nil"/>
              <w:left w:val="nil"/>
              <w:bottom w:val="nil"/>
              <w:right w:val="nil"/>
            </w:tcBorders>
            <w:shd w:val="clear" w:color="auto" w:fill="auto"/>
            <w:hideMark/>
          </w:tcPr>
          <w:p w14:paraId="44A3477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42,0</w:t>
            </w:r>
          </w:p>
        </w:tc>
        <w:tc>
          <w:tcPr>
            <w:tcW w:w="1200" w:type="dxa"/>
            <w:gridSpan w:val="2"/>
            <w:tcBorders>
              <w:top w:val="nil"/>
              <w:left w:val="nil"/>
              <w:bottom w:val="nil"/>
              <w:right w:val="nil"/>
            </w:tcBorders>
            <w:shd w:val="clear" w:color="auto" w:fill="auto"/>
            <w:hideMark/>
          </w:tcPr>
          <w:p w14:paraId="46F8A6EC"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10,5</w:t>
            </w:r>
          </w:p>
        </w:tc>
        <w:tc>
          <w:tcPr>
            <w:tcW w:w="1200" w:type="dxa"/>
            <w:tcBorders>
              <w:top w:val="nil"/>
              <w:left w:val="nil"/>
              <w:bottom w:val="nil"/>
              <w:right w:val="nil"/>
            </w:tcBorders>
            <w:shd w:val="clear" w:color="auto" w:fill="auto"/>
            <w:hideMark/>
          </w:tcPr>
          <w:p w14:paraId="4C2882A7"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10,5</w:t>
            </w:r>
          </w:p>
        </w:tc>
        <w:tc>
          <w:tcPr>
            <w:tcW w:w="200" w:type="dxa"/>
            <w:tcBorders>
              <w:top w:val="nil"/>
              <w:left w:val="nil"/>
              <w:bottom w:val="nil"/>
              <w:right w:val="nil"/>
            </w:tcBorders>
            <w:shd w:val="clear" w:color="auto" w:fill="auto"/>
            <w:hideMark/>
          </w:tcPr>
          <w:p w14:paraId="49290F1E"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tcBorders>
              <w:top w:val="nil"/>
              <w:left w:val="nil"/>
              <w:bottom w:val="nil"/>
              <w:right w:val="nil"/>
            </w:tcBorders>
            <w:shd w:val="clear" w:color="auto" w:fill="auto"/>
            <w:hideMark/>
          </w:tcPr>
          <w:p w14:paraId="4735D28E"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3,3</w:t>
            </w:r>
          </w:p>
        </w:tc>
        <w:tc>
          <w:tcPr>
            <w:tcW w:w="207" w:type="dxa"/>
            <w:tcBorders>
              <w:top w:val="nil"/>
              <w:left w:val="nil"/>
              <w:bottom w:val="nil"/>
              <w:right w:val="nil"/>
            </w:tcBorders>
            <w:shd w:val="clear" w:color="auto" w:fill="auto"/>
            <w:hideMark/>
          </w:tcPr>
          <w:p w14:paraId="76DB778F"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tcBorders>
              <w:top w:val="nil"/>
              <w:left w:val="nil"/>
              <w:bottom w:val="nil"/>
              <w:right w:val="nil"/>
            </w:tcBorders>
            <w:shd w:val="clear" w:color="auto" w:fill="auto"/>
            <w:hideMark/>
          </w:tcPr>
          <w:p w14:paraId="5C86B151"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1,9</w:t>
            </w:r>
          </w:p>
        </w:tc>
        <w:tc>
          <w:tcPr>
            <w:tcW w:w="207" w:type="dxa"/>
            <w:tcBorders>
              <w:top w:val="nil"/>
              <w:left w:val="nil"/>
              <w:bottom w:val="nil"/>
              <w:right w:val="nil"/>
            </w:tcBorders>
            <w:shd w:val="clear" w:color="auto" w:fill="auto"/>
            <w:noWrap/>
            <w:vAlign w:val="bottom"/>
            <w:hideMark/>
          </w:tcPr>
          <w:p w14:paraId="364D60BF"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tcBorders>
              <w:top w:val="nil"/>
              <w:left w:val="nil"/>
              <w:bottom w:val="nil"/>
              <w:right w:val="nil"/>
            </w:tcBorders>
            <w:shd w:val="clear" w:color="auto" w:fill="auto"/>
            <w:noWrap/>
            <w:vAlign w:val="bottom"/>
            <w:hideMark/>
          </w:tcPr>
          <w:p w14:paraId="51853D94"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5,3</w:t>
            </w:r>
          </w:p>
        </w:tc>
        <w:tc>
          <w:tcPr>
            <w:tcW w:w="207" w:type="dxa"/>
            <w:tcBorders>
              <w:top w:val="nil"/>
              <w:left w:val="nil"/>
              <w:bottom w:val="nil"/>
              <w:right w:val="nil"/>
            </w:tcBorders>
            <w:shd w:val="clear" w:color="auto" w:fill="auto"/>
            <w:noWrap/>
            <w:vAlign w:val="bottom"/>
            <w:hideMark/>
          </w:tcPr>
          <w:p w14:paraId="7F982776"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r>
      <w:tr w:rsidR="00D42679" w:rsidRPr="009451FB" w14:paraId="5EF994A2" w14:textId="77777777" w:rsidTr="00D42679">
        <w:trPr>
          <w:gridBefore w:val="1"/>
          <w:wBefore w:w="882" w:type="dxa"/>
          <w:trHeight w:val="300"/>
        </w:trPr>
        <w:tc>
          <w:tcPr>
            <w:tcW w:w="1000" w:type="dxa"/>
            <w:tcBorders>
              <w:top w:val="nil"/>
              <w:left w:val="nil"/>
              <w:bottom w:val="nil"/>
              <w:right w:val="nil"/>
            </w:tcBorders>
            <w:shd w:val="clear" w:color="auto" w:fill="auto"/>
            <w:hideMark/>
          </w:tcPr>
          <w:p w14:paraId="1D4BAEE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Norte</w:t>
            </w:r>
          </w:p>
        </w:tc>
        <w:tc>
          <w:tcPr>
            <w:tcW w:w="1200" w:type="dxa"/>
            <w:tcBorders>
              <w:top w:val="nil"/>
              <w:left w:val="nil"/>
              <w:bottom w:val="nil"/>
              <w:right w:val="nil"/>
            </w:tcBorders>
            <w:shd w:val="clear" w:color="auto" w:fill="auto"/>
            <w:hideMark/>
          </w:tcPr>
          <w:p w14:paraId="7B820DE3"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200" w:type="dxa"/>
            <w:gridSpan w:val="2"/>
            <w:tcBorders>
              <w:top w:val="nil"/>
              <w:left w:val="nil"/>
              <w:bottom w:val="nil"/>
              <w:right w:val="nil"/>
            </w:tcBorders>
            <w:shd w:val="clear" w:color="auto" w:fill="auto"/>
            <w:hideMark/>
          </w:tcPr>
          <w:p w14:paraId="475BB739"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50,8</w:t>
            </w:r>
          </w:p>
        </w:tc>
        <w:tc>
          <w:tcPr>
            <w:tcW w:w="1200" w:type="dxa"/>
            <w:gridSpan w:val="2"/>
            <w:tcBorders>
              <w:top w:val="nil"/>
              <w:left w:val="nil"/>
              <w:bottom w:val="nil"/>
              <w:right w:val="nil"/>
            </w:tcBorders>
            <w:shd w:val="clear" w:color="auto" w:fill="auto"/>
            <w:hideMark/>
          </w:tcPr>
          <w:p w14:paraId="2490E5F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49,9</w:t>
            </w:r>
          </w:p>
        </w:tc>
        <w:tc>
          <w:tcPr>
            <w:tcW w:w="1211" w:type="dxa"/>
            <w:gridSpan w:val="3"/>
            <w:tcBorders>
              <w:top w:val="nil"/>
              <w:left w:val="nil"/>
              <w:bottom w:val="nil"/>
              <w:right w:val="nil"/>
            </w:tcBorders>
            <w:shd w:val="clear" w:color="auto" w:fill="auto"/>
            <w:hideMark/>
          </w:tcPr>
          <w:p w14:paraId="65D4046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1,0</w:t>
            </w:r>
          </w:p>
        </w:tc>
        <w:tc>
          <w:tcPr>
            <w:tcW w:w="207" w:type="dxa"/>
            <w:tcBorders>
              <w:top w:val="nil"/>
              <w:left w:val="nil"/>
              <w:bottom w:val="nil"/>
              <w:right w:val="nil"/>
            </w:tcBorders>
            <w:shd w:val="clear" w:color="auto" w:fill="auto"/>
            <w:hideMark/>
          </w:tcPr>
          <w:p w14:paraId="11BA0065"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b</w:t>
            </w:r>
          </w:p>
        </w:tc>
        <w:tc>
          <w:tcPr>
            <w:tcW w:w="1200" w:type="dxa"/>
            <w:gridSpan w:val="2"/>
            <w:tcBorders>
              <w:top w:val="nil"/>
              <w:left w:val="nil"/>
              <w:bottom w:val="nil"/>
              <w:right w:val="nil"/>
            </w:tcBorders>
            <w:shd w:val="clear" w:color="auto" w:fill="auto"/>
            <w:hideMark/>
          </w:tcPr>
          <w:p w14:paraId="27ADEAC6"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49,2</w:t>
            </w:r>
          </w:p>
        </w:tc>
        <w:tc>
          <w:tcPr>
            <w:tcW w:w="1200" w:type="dxa"/>
            <w:gridSpan w:val="2"/>
            <w:tcBorders>
              <w:top w:val="nil"/>
              <w:left w:val="nil"/>
              <w:bottom w:val="nil"/>
              <w:right w:val="nil"/>
            </w:tcBorders>
            <w:shd w:val="clear" w:color="auto" w:fill="auto"/>
            <w:hideMark/>
          </w:tcPr>
          <w:p w14:paraId="56147DBA"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42,7</w:t>
            </w:r>
          </w:p>
        </w:tc>
        <w:tc>
          <w:tcPr>
            <w:tcW w:w="1200" w:type="dxa"/>
            <w:gridSpan w:val="3"/>
            <w:tcBorders>
              <w:top w:val="nil"/>
              <w:left w:val="nil"/>
              <w:bottom w:val="nil"/>
              <w:right w:val="nil"/>
            </w:tcBorders>
            <w:shd w:val="clear" w:color="auto" w:fill="auto"/>
            <w:hideMark/>
          </w:tcPr>
          <w:p w14:paraId="6B283391"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34,6</w:t>
            </w:r>
          </w:p>
        </w:tc>
        <w:tc>
          <w:tcPr>
            <w:tcW w:w="1200" w:type="dxa"/>
            <w:gridSpan w:val="2"/>
            <w:tcBorders>
              <w:top w:val="nil"/>
              <w:left w:val="nil"/>
              <w:bottom w:val="nil"/>
              <w:right w:val="nil"/>
            </w:tcBorders>
            <w:shd w:val="clear" w:color="auto" w:fill="auto"/>
            <w:hideMark/>
          </w:tcPr>
          <w:p w14:paraId="004F2A3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8,1</w:t>
            </w:r>
          </w:p>
        </w:tc>
        <w:tc>
          <w:tcPr>
            <w:tcW w:w="1200" w:type="dxa"/>
            <w:tcBorders>
              <w:top w:val="nil"/>
              <w:left w:val="nil"/>
              <w:bottom w:val="nil"/>
              <w:right w:val="nil"/>
            </w:tcBorders>
            <w:shd w:val="clear" w:color="auto" w:fill="auto"/>
            <w:hideMark/>
          </w:tcPr>
          <w:p w14:paraId="7812CF59"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6,5</w:t>
            </w:r>
          </w:p>
        </w:tc>
        <w:tc>
          <w:tcPr>
            <w:tcW w:w="200" w:type="dxa"/>
            <w:tcBorders>
              <w:top w:val="nil"/>
              <w:left w:val="nil"/>
              <w:bottom w:val="nil"/>
              <w:right w:val="nil"/>
            </w:tcBorders>
            <w:shd w:val="clear" w:color="auto" w:fill="auto"/>
            <w:hideMark/>
          </w:tcPr>
          <w:p w14:paraId="04A98DF6"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tcBorders>
              <w:top w:val="nil"/>
              <w:left w:val="nil"/>
              <w:bottom w:val="nil"/>
              <w:right w:val="nil"/>
            </w:tcBorders>
            <w:shd w:val="clear" w:color="auto" w:fill="auto"/>
            <w:hideMark/>
          </w:tcPr>
          <w:p w14:paraId="77B7C53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w:t>
            </w:r>
          </w:p>
        </w:tc>
        <w:tc>
          <w:tcPr>
            <w:tcW w:w="207" w:type="dxa"/>
            <w:tcBorders>
              <w:top w:val="nil"/>
              <w:left w:val="nil"/>
              <w:bottom w:val="nil"/>
              <w:right w:val="nil"/>
            </w:tcBorders>
            <w:shd w:val="clear" w:color="auto" w:fill="auto"/>
            <w:hideMark/>
          </w:tcPr>
          <w:p w14:paraId="6014FD28"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hideMark/>
          </w:tcPr>
          <w:p w14:paraId="2040DA4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w:t>
            </w:r>
          </w:p>
        </w:tc>
        <w:tc>
          <w:tcPr>
            <w:tcW w:w="207" w:type="dxa"/>
            <w:tcBorders>
              <w:top w:val="nil"/>
              <w:left w:val="nil"/>
              <w:bottom w:val="nil"/>
              <w:right w:val="nil"/>
            </w:tcBorders>
            <w:shd w:val="clear" w:color="auto" w:fill="auto"/>
            <w:hideMark/>
          </w:tcPr>
          <w:p w14:paraId="7301803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1BA1D72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5,1</w:t>
            </w:r>
          </w:p>
        </w:tc>
        <w:tc>
          <w:tcPr>
            <w:tcW w:w="207" w:type="dxa"/>
            <w:tcBorders>
              <w:top w:val="nil"/>
              <w:left w:val="nil"/>
              <w:bottom w:val="nil"/>
              <w:right w:val="nil"/>
            </w:tcBorders>
            <w:shd w:val="clear" w:color="auto" w:fill="auto"/>
            <w:noWrap/>
            <w:vAlign w:val="bottom"/>
            <w:hideMark/>
          </w:tcPr>
          <w:p w14:paraId="2AC83DD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r>
      <w:tr w:rsidR="00D42679" w:rsidRPr="009451FB" w14:paraId="37EEC198" w14:textId="77777777" w:rsidTr="00D42679">
        <w:trPr>
          <w:gridBefore w:val="1"/>
          <w:wBefore w:w="882" w:type="dxa"/>
          <w:trHeight w:val="300"/>
        </w:trPr>
        <w:tc>
          <w:tcPr>
            <w:tcW w:w="1000" w:type="dxa"/>
            <w:tcBorders>
              <w:top w:val="nil"/>
              <w:left w:val="nil"/>
              <w:bottom w:val="nil"/>
              <w:right w:val="nil"/>
            </w:tcBorders>
            <w:shd w:val="clear" w:color="auto" w:fill="auto"/>
            <w:hideMark/>
          </w:tcPr>
          <w:p w14:paraId="27C7ECC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Centro</w:t>
            </w:r>
          </w:p>
        </w:tc>
        <w:tc>
          <w:tcPr>
            <w:tcW w:w="1200" w:type="dxa"/>
            <w:tcBorders>
              <w:top w:val="nil"/>
              <w:left w:val="nil"/>
              <w:bottom w:val="nil"/>
              <w:right w:val="nil"/>
            </w:tcBorders>
            <w:shd w:val="clear" w:color="auto" w:fill="auto"/>
            <w:hideMark/>
          </w:tcPr>
          <w:p w14:paraId="3BD39E0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200" w:type="dxa"/>
            <w:gridSpan w:val="2"/>
            <w:tcBorders>
              <w:top w:val="nil"/>
              <w:left w:val="nil"/>
              <w:bottom w:val="nil"/>
              <w:right w:val="nil"/>
            </w:tcBorders>
            <w:shd w:val="clear" w:color="auto" w:fill="auto"/>
            <w:hideMark/>
          </w:tcPr>
          <w:p w14:paraId="4061750A"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37,3</w:t>
            </w:r>
          </w:p>
        </w:tc>
        <w:tc>
          <w:tcPr>
            <w:tcW w:w="1200" w:type="dxa"/>
            <w:gridSpan w:val="2"/>
            <w:tcBorders>
              <w:top w:val="nil"/>
              <w:left w:val="nil"/>
              <w:bottom w:val="nil"/>
              <w:right w:val="nil"/>
            </w:tcBorders>
            <w:shd w:val="clear" w:color="auto" w:fill="auto"/>
            <w:hideMark/>
          </w:tcPr>
          <w:p w14:paraId="75D3D0F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36,1</w:t>
            </w:r>
          </w:p>
        </w:tc>
        <w:tc>
          <w:tcPr>
            <w:tcW w:w="1211" w:type="dxa"/>
            <w:gridSpan w:val="3"/>
            <w:tcBorders>
              <w:top w:val="nil"/>
              <w:left w:val="nil"/>
              <w:bottom w:val="nil"/>
              <w:right w:val="nil"/>
            </w:tcBorders>
            <w:shd w:val="clear" w:color="auto" w:fill="auto"/>
            <w:hideMark/>
          </w:tcPr>
          <w:p w14:paraId="5A04160D"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1,1</w:t>
            </w:r>
          </w:p>
        </w:tc>
        <w:tc>
          <w:tcPr>
            <w:tcW w:w="207" w:type="dxa"/>
            <w:tcBorders>
              <w:top w:val="nil"/>
              <w:left w:val="nil"/>
              <w:bottom w:val="nil"/>
              <w:right w:val="nil"/>
            </w:tcBorders>
            <w:shd w:val="clear" w:color="auto" w:fill="auto"/>
            <w:hideMark/>
          </w:tcPr>
          <w:p w14:paraId="69CEE2D6"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c>
          <w:tcPr>
            <w:tcW w:w="1200" w:type="dxa"/>
            <w:gridSpan w:val="2"/>
            <w:tcBorders>
              <w:top w:val="nil"/>
              <w:left w:val="nil"/>
              <w:bottom w:val="nil"/>
              <w:right w:val="nil"/>
            </w:tcBorders>
            <w:shd w:val="clear" w:color="auto" w:fill="auto"/>
            <w:hideMark/>
          </w:tcPr>
          <w:p w14:paraId="40E11E15"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62,7</w:t>
            </w:r>
          </w:p>
        </w:tc>
        <w:tc>
          <w:tcPr>
            <w:tcW w:w="1200" w:type="dxa"/>
            <w:gridSpan w:val="2"/>
            <w:tcBorders>
              <w:top w:val="nil"/>
              <w:left w:val="nil"/>
              <w:bottom w:val="nil"/>
              <w:right w:val="nil"/>
            </w:tcBorders>
            <w:shd w:val="clear" w:color="auto" w:fill="auto"/>
            <w:hideMark/>
          </w:tcPr>
          <w:p w14:paraId="174BEC84"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53,4</w:t>
            </w:r>
          </w:p>
        </w:tc>
        <w:tc>
          <w:tcPr>
            <w:tcW w:w="1200" w:type="dxa"/>
            <w:gridSpan w:val="3"/>
            <w:tcBorders>
              <w:top w:val="nil"/>
              <w:left w:val="nil"/>
              <w:bottom w:val="nil"/>
              <w:right w:val="nil"/>
            </w:tcBorders>
            <w:shd w:val="clear" w:color="auto" w:fill="auto"/>
            <w:hideMark/>
          </w:tcPr>
          <w:p w14:paraId="56BD321C"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42,5</w:t>
            </w:r>
          </w:p>
        </w:tc>
        <w:tc>
          <w:tcPr>
            <w:tcW w:w="1200" w:type="dxa"/>
            <w:gridSpan w:val="2"/>
            <w:tcBorders>
              <w:top w:val="nil"/>
              <w:left w:val="nil"/>
              <w:bottom w:val="nil"/>
              <w:right w:val="nil"/>
            </w:tcBorders>
            <w:shd w:val="clear" w:color="auto" w:fill="auto"/>
            <w:hideMark/>
          </w:tcPr>
          <w:p w14:paraId="333831D1"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10,9</w:t>
            </w:r>
          </w:p>
        </w:tc>
        <w:tc>
          <w:tcPr>
            <w:tcW w:w="1200" w:type="dxa"/>
            <w:tcBorders>
              <w:top w:val="nil"/>
              <w:left w:val="nil"/>
              <w:bottom w:val="nil"/>
              <w:right w:val="nil"/>
            </w:tcBorders>
            <w:shd w:val="clear" w:color="auto" w:fill="auto"/>
            <w:hideMark/>
          </w:tcPr>
          <w:p w14:paraId="0DDBEA0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9,4</w:t>
            </w:r>
          </w:p>
        </w:tc>
        <w:tc>
          <w:tcPr>
            <w:tcW w:w="200" w:type="dxa"/>
            <w:tcBorders>
              <w:top w:val="nil"/>
              <w:left w:val="nil"/>
              <w:bottom w:val="nil"/>
              <w:right w:val="nil"/>
            </w:tcBorders>
            <w:shd w:val="clear" w:color="auto" w:fill="auto"/>
            <w:hideMark/>
          </w:tcPr>
          <w:p w14:paraId="48AD025A"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p>
        </w:tc>
        <w:tc>
          <w:tcPr>
            <w:tcW w:w="1200" w:type="dxa"/>
            <w:tcBorders>
              <w:top w:val="nil"/>
              <w:left w:val="nil"/>
              <w:bottom w:val="nil"/>
              <w:right w:val="nil"/>
            </w:tcBorders>
            <w:shd w:val="clear" w:color="auto" w:fill="auto"/>
            <w:hideMark/>
          </w:tcPr>
          <w:p w14:paraId="3040164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2,6</w:t>
            </w:r>
          </w:p>
        </w:tc>
        <w:tc>
          <w:tcPr>
            <w:tcW w:w="207" w:type="dxa"/>
            <w:tcBorders>
              <w:top w:val="nil"/>
              <w:left w:val="nil"/>
              <w:bottom w:val="nil"/>
              <w:right w:val="nil"/>
            </w:tcBorders>
            <w:shd w:val="clear" w:color="auto" w:fill="auto"/>
            <w:hideMark/>
          </w:tcPr>
          <w:p w14:paraId="25A47F7C"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c>
          <w:tcPr>
            <w:tcW w:w="1200" w:type="dxa"/>
            <w:tcBorders>
              <w:top w:val="nil"/>
              <w:left w:val="nil"/>
              <w:bottom w:val="nil"/>
              <w:right w:val="nil"/>
            </w:tcBorders>
            <w:shd w:val="clear" w:color="auto" w:fill="auto"/>
            <w:hideMark/>
          </w:tcPr>
          <w:p w14:paraId="32BB8706"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1,8</w:t>
            </w:r>
          </w:p>
        </w:tc>
        <w:tc>
          <w:tcPr>
            <w:tcW w:w="207" w:type="dxa"/>
            <w:tcBorders>
              <w:top w:val="nil"/>
              <w:left w:val="nil"/>
              <w:bottom w:val="nil"/>
              <w:right w:val="nil"/>
            </w:tcBorders>
            <w:shd w:val="clear" w:color="auto" w:fill="auto"/>
            <w:noWrap/>
            <w:vAlign w:val="bottom"/>
            <w:hideMark/>
          </w:tcPr>
          <w:p w14:paraId="5F37B5E3"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c>
          <w:tcPr>
            <w:tcW w:w="1200" w:type="dxa"/>
            <w:tcBorders>
              <w:top w:val="nil"/>
              <w:left w:val="nil"/>
              <w:bottom w:val="nil"/>
              <w:right w:val="nil"/>
            </w:tcBorders>
            <w:shd w:val="clear" w:color="auto" w:fill="auto"/>
            <w:noWrap/>
            <w:vAlign w:val="bottom"/>
            <w:hideMark/>
          </w:tcPr>
          <w:p w14:paraId="7749B4F5"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5,0</w:t>
            </w:r>
          </w:p>
        </w:tc>
        <w:tc>
          <w:tcPr>
            <w:tcW w:w="207" w:type="dxa"/>
            <w:tcBorders>
              <w:top w:val="nil"/>
              <w:left w:val="nil"/>
              <w:bottom w:val="nil"/>
              <w:right w:val="nil"/>
            </w:tcBorders>
            <w:shd w:val="clear" w:color="auto" w:fill="auto"/>
            <w:noWrap/>
            <w:vAlign w:val="bottom"/>
            <w:hideMark/>
          </w:tcPr>
          <w:p w14:paraId="61AFFFA2"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42645529" w14:textId="77777777" w:rsidTr="00D42679">
        <w:trPr>
          <w:gridBefore w:val="1"/>
          <w:wBefore w:w="882" w:type="dxa"/>
          <w:trHeight w:val="300"/>
        </w:trPr>
        <w:tc>
          <w:tcPr>
            <w:tcW w:w="1000" w:type="dxa"/>
            <w:tcBorders>
              <w:top w:val="nil"/>
              <w:left w:val="nil"/>
              <w:bottom w:val="single" w:sz="4" w:space="0" w:color="auto"/>
              <w:right w:val="nil"/>
            </w:tcBorders>
            <w:shd w:val="clear" w:color="auto" w:fill="auto"/>
            <w:hideMark/>
          </w:tcPr>
          <w:p w14:paraId="5D85B298"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Sur</w:t>
            </w:r>
          </w:p>
        </w:tc>
        <w:tc>
          <w:tcPr>
            <w:tcW w:w="1200" w:type="dxa"/>
            <w:tcBorders>
              <w:top w:val="nil"/>
              <w:left w:val="nil"/>
              <w:bottom w:val="single" w:sz="4" w:space="0" w:color="auto"/>
              <w:right w:val="nil"/>
            </w:tcBorders>
            <w:shd w:val="clear" w:color="auto" w:fill="auto"/>
            <w:hideMark/>
          </w:tcPr>
          <w:p w14:paraId="6D214AE8"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100,0</w:t>
            </w:r>
          </w:p>
        </w:tc>
        <w:tc>
          <w:tcPr>
            <w:tcW w:w="1200" w:type="dxa"/>
            <w:gridSpan w:val="2"/>
            <w:tcBorders>
              <w:top w:val="nil"/>
              <w:left w:val="nil"/>
              <w:bottom w:val="single" w:sz="4" w:space="0" w:color="auto"/>
              <w:right w:val="nil"/>
            </w:tcBorders>
            <w:shd w:val="clear" w:color="auto" w:fill="auto"/>
            <w:hideMark/>
          </w:tcPr>
          <w:p w14:paraId="31439062"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20,1</w:t>
            </w:r>
          </w:p>
        </w:tc>
        <w:tc>
          <w:tcPr>
            <w:tcW w:w="1200" w:type="dxa"/>
            <w:gridSpan w:val="2"/>
            <w:tcBorders>
              <w:top w:val="nil"/>
              <w:left w:val="nil"/>
              <w:bottom w:val="single" w:sz="4" w:space="0" w:color="auto"/>
              <w:right w:val="nil"/>
            </w:tcBorders>
            <w:shd w:val="clear" w:color="auto" w:fill="auto"/>
            <w:hideMark/>
          </w:tcPr>
          <w:p w14:paraId="0806BAE0"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19,6</w:t>
            </w:r>
          </w:p>
        </w:tc>
        <w:tc>
          <w:tcPr>
            <w:tcW w:w="1211" w:type="dxa"/>
            <w:gridSpan w:val="3"/>
            <w:tcBorders>
              <w:top w:val="nil"/>
              <w:left w:val="nil"/>
              <w:bottom w:val="single" w:sz="4" w:space="0" w:color="auto"/>
              <w:right w:val="nil"/>
            </w:tcBorders>
            <w:shd w:val="clear" w:color="auto" w:fill="auto"/>
            <w:hideMark/>
          </w:tcPr>
          <w:p w14:paraId="053BCA7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w:t>
            </w:r>
          </w:p>
        </w:tc>
        <w:tc>
          <w:tcPr>
            <w:tcW w:w="207" w:type="dxa"/>
            <w:tcBorders>
              <w:top w:val="nil"/>
              <w:left w:val="nil"/>
              <w:bottom w:val="single" w:sz="4" w:space="0" w:color="auto"/>
              <w:right w:val="nil"/>
            </w:tcBorders>
            <w:shd w:val="clear" w:color="auto" w:fill="auto"/>
            <w:hideMark/>
          </w:tcPr>
          <w:p w14:paraId="61D3F034"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gridSpan w:val="2"/>
            <w:tcBorders>
              <w:top w:val="nil"/>
              <w:left w:val="nil"/>
              <w:bottom w:val="single" w:sz="4" w:space="0" w:color="auto"/>
              <w:right w:val="nil"/>
            </w:tcBorders>
            <w:shd w:val="clear" w:color="auto" w:fill="auto"/>
            <w:hideMark/>
          </w:tcPr>
          <w:p w14:paraId="1AB2F015"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79,9</w:t>
            </w:r>
          </w:p>
        </w:tc>
        <w:tc>
          <w:tcPr>
            <w:tcW w:w="1200" w:type="dxa"/>
            <w:gridSpan w:val="2"/>
            <w:tcBorders>
              <w:top w:val="nil"/>
              <w:left w:val="nil"/>
              <w:bottom w:val="single" w:sz="4" w:space="0" w:color="auto"/>
              <w:right w:val="nil"/>
            </w:tcBorders>
            <w:shd w:val="clear" w:color="auto" w:fill="auto"/>
            <w:hideMark/>
          </w:tcPr>
          <w:p w14:paraId="5DB10C66"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61,9</w:t>
            </w:r>
          </w:p>
        </w:tc>
        <w:tc>
          <w:tcPr>
            <w:tcW w:w="1200" w:type="dxa"/>
            <w:gridSpan w:val="3"/>
            <w:tcBorders>
              <w:top w:val="nil"/>
              <w:left w:val="nil"/>
              <w:bottom w:val="single" w:sz="4" w:space="0" w:color="auto"/>
              <w:right w:val="nil"/>
            </w:tcBorders>
            <w:shd w:val="clear" w:color="auto" w:fill="auto"/>
            <w:hideMark/>
          </w:tcPr>
          <w:p w14:paraId="6C359CC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49,7</w:t>
            </w:r>
          </w:p>
        </w:tc>
        <w:tc>
          <w:tcPr>
            <w:tcW w:w="1200" w:type="dxa"/>
            <w:gridSpan w:val="2"/>
            <w:tcBorders>
              <w:top w:val="nil"/>
              <w:left w:val="nil"/>
              <w:bottom w:val="single" w:sz="4" w:space="0" w:color="auto"/>
              <w:right w:val="nil"/>
            </w:tcBorders>
            <w:shd w:val="clear" w:color="auto" w:fill="auto"/>
            <w:hideMark/>
          </w:tcPr>
          <w:p w14:paraId="5FCCD543"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12,2</w:t>
            </w:r>
          </w:p>
        </w:tc>
        <w:tc>
          <w:tcPr>
            <w:tcW w:w="1200" w:type="dxa"/>
            <w:tcBorders>
              <w:top w:val="nil"/>
              <w:left w:val="nil"/>
              <w:bottom w:val="single" w:sz="4" w:space="0" w:color="auto"/>
              <w:right w:val="nil"/>
            </w:tcBorders>
            <w:shd w:val="clear" w:color="auto" w:fill="auto"/>
            <w:hideMark/>
          </w:tcPr>
          <w:p w14:paraId="501E4A20" w14:textId="77777777" w:rsidR="00D42679" w:rsidRPr="009451FB" w:rsidRDefault="00D42679" w:rsidP="009451FB">
            <w:pPr>
              <w:spacing w:after="0" w:line="240" w:lineRule="auto"/>
              <w:jc w:val="both"/>
              <w:rPr>
                <w:rFonts w:ascii="Arial" w:eastAsia="Times New Roman" w:hAnsi="Arial" w:cs="Arial"/>
                <w:b/>
                <w:bCs/>
                <w:sz w:val="24"/>
                <w:szCs w:val="24"/>
                <w:lang w:eastAsia="es-AR"/>
              </w:rPr>
            </w:pPr>
            <w:r w:rsidRPr="009451FB">
              <w:rPr>
                <w:rFonts w:ascii="Arial" w:eastAsia="Times New Roman" w:hAnsi="Arial" w:cs="Arial"/>
                <w:b/>
                <w:bCs/>
                <w:sz w:val="24"/>
                <w:szCs w:val="24"/>
                <w:lang w:eastAsia="es-AR"/>
              </w:rPr>
              <w:t>18,1</w:t>
            </w:r>
          </w:p>
        </w:tc>
        <w:tc>
          <w:tcPr>
            <w:tcW w:w="200" w:type="dxa"/>
            <w:tcBorders>
              <w:top w:val="nil"/>
              <w:left w:val="nil"/>
              <w:bottom w:val="single" w:sz="4" w:space="0" w:color="auto"/>
              <w:right w:val="nil"/>
            </w:tcBorders>
            <w:shd w:val="clear" w:color="auto" w:fill="auto"/>
            <w:hideMark/>
          </w:tcPr>
          <w:p w14:paraId="350E7ED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w:t>
            </w:r>
          </w:p>
        </w:tc>
        <w:tc>
          <w:tcPr>
            <w:tcW w:w="1200" w:type="dxa"/>
            <w:tcBorders>
              <w:top w:val="nil"/>
              <w:left w:val="nil"/>
              <w:bottom w:val="single" w:sz="4" w:space="0" w:color="auto"/>
              <w:right w:val="nil"/>
            </w:tcBorders>
            <w:shd w:val="clear" w:color="auto" w:fill="auto"/>
            <w:hideMark/>
          </w:tcPr>
          <w:p w14:paraId="082520C7"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7,8</w:t>
            </w:r>
          </w:p>
        </w:tc>
        <w:tc>
          <w:tcPr>
            <w:tcW w:w="207" w:type="dxa"/>
            <w:tcBorders>
              <w:top w:val="nil"/>
              <w:left w:val="nil"/>
              <w:bottom w:val="single" w:sz="4" w:space="0" w:color="auto"/>
              <w:right w:val="nil"/>
            </w:tcBorders>
            <w:shd w:val="clear" w:color="auto" w:fill="auto"/>
            <w:hideMark/>
          </w:tcPr>
          <w:p w14:paraId="136732E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 </w:t>
            </w:r>
          </w:p>
        </w:tc>
        <w:tc>
          <w:tcPr>
            <w:tcW w:w="1200" w:type="dxa"/>
            <w:tcBorders>
              <w:top w:val="nil"/>
              <w:left w:val="nil"/>
              <w:bottom w:val="single" w:sz="4" w:space="0" w:color="auto"/>
              <w:right w:val="nil"/>
            </w:tcBorders>
            <w:shd w:val="clear" w:color="auto" w:fill="auto"/>
            <w:hideMark/>
          </w:tcPr>
          <w:p w14:paraId="7917D19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3,9</w:t>
            </w:r>
          </w:p>
        </w:tc>
        <w:tc>
          <w:tcPr>
            <w:tcW w:w="207" w:type="dxa"/>
            <w:tcBorders>
              <w:top w:val="nil"/>
              <w:left w:val="nil"/>
              <w:bottom w:val="single" w:sz="4" w:space="0" w:color="auto"/>
              <w:right w:val="nil"/>
            </w:tcBorders>
            <w:shd w:val="clear" w:color="auto" w:fill="auto"/>
            <w:noWrap/>
            <w:vAlign w:val="bottom"/>
            <w:hideMark/>
          </w:tcPr>
          <w:p w14:paraId="21D1086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a</w:t>
            </w:r>
          </w:p>
        </w:tc>
        <w:tc>
          <w:tcPr>
            <w:tcW w:w="1200" w:type="dxa"/>
            <w:tcBorders>
              <w:top w:val="nil"/>
              <w:left w:val="nil"/>
              <w:bottom w:val="single" w:sz="4" w:space="0" w:color="auto"/>
              <w:right w:val="nil"/>
            </w:tcBorders>
            <w:shd w:val="clear" w:color="auto" w:fill="auto"/>
            <w:noWrap/>
            <w:vAlign w:val="bottom"/>
            <w:hideMark/>
          </w:tcPr>
          <w:p w14:paraId="6B3CB3EE"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6,4</w:t>
            </w:r>
          </w:p>
        </w:tc>
        <w:tc>
          <w:tcPr>
            <w:tcW w:w="207" w:type="dxa"/>
            <w:tcBorders>
              <w:top w:val="nil"/>
              <w:left w:val="nil"/>
              <w:bottom w:val="single" w:sz="4" w:space="0" w:color="auto"/>
              <w:right w:val="nil"/>
            </w:tcBorders>
            <w:shd w:val="clear" w:color="auto" w:fill="auto"/>
            <w:noWrap/>
            <w:vAlign w:val="bottom"/>
            <w:hideMark/>
          </w:tcPr>
          <w:p w14:paraId="12CFA11B"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 </w:t>
            </w:r>
          </w:p>
        </w:tc>
      </w:tr>
      <w:tr w:rsidR="00D42679" w:rsidRPr="009451FB" w14:paraId="545E7458" w14:textId="77777777" w:rsidTr="00D42679">
        <w:trPr>
          <w:gridBefore w:val="1"/>
          <w:wBefore w:w="882" w:type="dxa"/>
          <w:trHeight w:val="300"/>
        </w:trPr>
        <w:tc>
          <w:tcPr>
            <w:tcW w:w="16232" w:type="dxa"/>
            <w:gridSpan w:val="26"/>
            <w:tcBorders>
              <w:top w:val="single" w:sz="4" w:space="0" w:color="auto"/>
              <w:left w:val="nil"/>
              <w:bottom w:val="nil"/>
              <w:right w:val="nil"/>
            </w:tcBorders>
            <w:shd w:val="clear" w:color="auto" w:fill="auto"/>
            <w:noWrap/>
            <w:vAlign w:val="bottom"/>
            <w:hideMark/>
          </w:tcPr>
          <w:p w14:paraId="1E23E342"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t>1</w:t>
            </w:r>
            <w:r w:rsidRPr="009451FB">
              <w:rPr>
                <w:rFonts w:ascii="Arial" w:eastAsia="Times New Roman" w:hAnsi="Arial" w:cs="Arial"/>
                <w:sz w:val="24"/>
                <w:szCs w:val="24"/>
                <w:lang w:eastAsia="es-AR"/>
              </w:rPr>
              <w:t xml:space="preserve"> Zona Norte: comunas 2, 13 y 14; Zona Centro: comunas 1, 3, 5, 6, 7, 11, 12 y 15; Zona Sur: comunas 4, 8, 9 y 10.</w:t>
            </w:r>
          </w:p>
        </w:tc>
        <w:tc>
          <w:tcPr>
            <w:tcW w:w="207" w:type="dxa"/>
            <w:tcBorders>
              <w:top w:val="nil"/>
              <w:left w:val="nil"/>
              <w:bottom w:val="nil"/>
              <w:right w:val="nil"/>
            </w:tcBorders>
            <w:shd w:val="clear" w:color="auto" w:fill="auto"/>
            <w:noWrap/>
            <w:vAlign w:val="bottom"/>
            <w:hideMark/>
          </w:tcPr>
          <w:p w14:paraId="61D21AE3"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356E6EA8" w14:textId="77777777" w:rsidTr="00D42679">
        <w:trPr>
          <w:gridBefore w:val="1"/>
          <w:wBefore w:w="882" w:type="dxa"/>
          <w:trHeight w:val="300"/>
        </w:trPr>
        <w:tc>
          <w:tcPr>
            <w:tcW w:w="16232" w:type="dxa"/>
            <w:gridSpan w:val="26"/>
            <w:tcBorders>
              <w:top w:val="nil"/>
              <w:left w:val="nil"/>
              <w:bottom w:val="nil"/>
              <w:right w:val="nil"/>
            </w:tcBorders>
            <w:shd w:val="clear" w:color="auto" w:fill="auto"/>
            <w:vAlign w:val="bottom"/>
            <w:hideMark/>
          </w:tcPr>
          <w:p w14:paraId="46A233CD"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vertAlign w:val="superscript"/>
                <w:lang w:eastAsia="es-AR"/>
              </w:rPr>
              <w:lastRenderedPageBreak/>
              <w:t>2</w:t>
            </w:r>
            <w:r w:rsidRPr="009451FB">
              <w:rPr>
                <w:rFonts w:ascii="Arial" w:eastAsia="Times New Roman" w:hAnsi="Arial" w:cs="Arial"/>
                <w:sz w:val="24"/>
                <w:szCs w:val="24"/>
                <w:lang w:eastAsia="es-AR"/>
              </w:rPr>
              <w:t xml:space="preserve"> Esta clasificación excluye al servicio doméstico y sus familiares.</w:t>
            </w:r>
          </w:p>
        </w:tc>
        <w:tc>
          <w:tcPr>
            <w:tcW w:w="207" w:type="dxa"/>
            <w:tcBorders>
              <w:top w:val="nil"/>
              <w:left w:val="nil"/>
              <w:bottom w:val="nil"/>
              <w:right w:val="nil"/>
            </w:tcBorders>
            <w:shd w:val="clear" w:color="auto" w:fill="auto"/>
            <w:vAlign w:val="bottom"/>
            <w:hideMark/>
          </w:tcPr>
          <w:p w14:paraId="57AA2586"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2CCB4A28" w14:textId="77777777" w:rsidTr="00D42679">
        <w:trPr>
          <w:gridBefore w:val="1"/>
          <w:wBefore w:w="882" w:type="dxa"/>
          <w:trHeight w:val="300"/>
        </w:trPr>
        <w:tc>
          <w:tcPr>
            <w:tcW w:w="16232" w:type="dxa"/>
            <w:gridSpan w:val="26"/>
            <w:tcBorders>
              <w:top w:val="nil"/>
              <w:left w:val="nil"/>
              <w:bottom w:val="nil"/>
              <w:right w:val="nil"/>
            </w:tcBorders>
            <w:shd w:val="clear" w:color="auto" w:fill="auto"/>
            <w:vAlign w:val="bottom"/>
            <w:hideMark/>
          </w:tcPr>
          <w:p w14:paraId="6897E8DD" w14:textId="77777777" w:rsidR="00D42679" w:rsidRPr="009451FB" w:rsidRDefault="00D42679" w:rsidP="009451FB">
            <w:pPr>
              <w:spacing w:after="0" w:line="240" w:lineRule="auto"/>
              <w:jc w:val="both"/>
              <w:rPr>
                <w:rFonts w:ascii="Arial" w:eastAsia="Times New Roman" w:hAnsi="Arial" w:cs="Arial"/>
                <w:sz w:val="24"/>
                <w:szCs w:val="24"/>
                <w:lang w:eastAsia="es-AR"/>
              </w:rPr>
            </w:pPr>
            <w:proofErr w:type="gramStart"/>
            <w:r w:rsidRPr="009451FB">
              <w:rPr>
                <w:rFonts w:ascii="Arial" w:eastAsia="Times New Roman" w:hAnsi="Arial" w:cs="Arial"/>
                <w:sz w:val="24"/>
                <w:szCs w:val="24"/>
                <w:vertAlign w:val="superscript"/>
                <w:lang w:eastAsia="es-AR"/>
              </w:rPr>
              <w:t>a</w:t>
            </w:r>
            <w:proofErr w:type="gramEnd"/>
            <w:r w:rsidRPr="009451FB">
              <w:rPr>
                <w:rFonts w:ascii="Arial" w:eastAsia="Times New Roman" w:hAnsi="Arial" w:cs="Arial"/>
                <w:sz w:val="24"/>
                <w:szCs w:val="24"/>
                <w:lang w:eastAsia="es-AR"/>
              </w:rPr>
              <w:t xml:space="preserve"> Valor de la celda con carácter indicativo (el coeficiente de variación aproximado está entre 10% y 20%).</w:t>
            </w:r>
          </w:p>
        </w:tc>
        <w:tc>
          <w:tcPr>
            <w:tcW w:w="207" w:type="dxa"/>
            <w:tcBorders>
              <w:top w:val="nil"/>
              <w:left w:val="nil"/>
              <w:bottom w:val="nil"/>
              <w:right w:val="nil"/>
            </w:tcBorders>
            <w:shd w:val="clear" w:color="auto" w:fill="auto"/>
            <w:vAlign w:val="bottom"/>
            <w:hideMark/>
          </w:tcPr>
          <w:p w14:paraId="26CD4B37"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4BAF0B6F" w14:textId="77777777" w:rsidTr="00D42679">
        <w:trPr>
          <w:gridBefore w:val="1"/>
          <w:wBefore w:w="882" w:type="dxa"/>
          <w:trHeight w:val="300"/>
        </w:trPr>
        <w:tc>
          <w:tcPr>
            <w:tcW w:w="16232" w:type="dxa"/>
            <w:gridSpan w:val="26"/>
            <w:tcBorders>
              <w:top w:val="nil"/>
              <w:left w:val="nil"/>
              <w:bottom w:val="nil"/>
              <w:right w:val="nil"/>
            </w:tcBorders>
            <w:shd w:val="clear" w:color="auto" w:fill="auto"/>
            <w:noWrap/>
            <w:vAlign w:val="bottom"/>
            <w:hideMark/>
          </w:tcPr>
          <w:p w14:paraId="0DE8BDD2" w14:textId="77777777" w:rsidR="00D42679" w:rsidRPr="009451FB" w:rsidRDefault="00D42679" w:rsidP="009451FB">
            <w:pPr>
              <w:spacing w:after="0" w:line="240" w:lineRule="auto"/>
              <w:jc w:val="both"/>
              <w:rPr>
                <w:rFonts w:ascii="Arial" w:eastAsia="Times New Roman" w:hAnsi="Arial" w:cs="Arial"/>
                <w:sz w:val="24"/>
                <w:szCs w:val="24"/>
                <w:lang w:eastAsia="es-AR"/>
              </w:rPr>
            </w:pPr>
            <w:proofErr w:type="gramStart"/>
            <w:r w:rsidRPr="009451FB">
              <w:rPr>
                <w:rFonts w:ascii="Arial" w:eastAsia="Times New Roman" w:hAnsi="Arial" w:cs="Arial"/>
                <w:sz w:val="24"/>
                <w:szCs w:val="24"/>
                <w:vertAlign w:val="superscript"/>
                <w:lang w:eastAsia="es-AR"/>
              </w:rPr>
              <w:t>b</w:t>
            </w:r>
            <w:proofErr w:type="gramEnd"/>
            <w:r w:rsidRPr="009451FB">
              <w:rPr>
                <w:rFonts w:ascii="Arial" w:eastAsia="Times New Roman" w:hAnsi="Arial" w:cs="Arial"/>
                <w:sz w:val="24"/>
                <w:szCs w:val="24"/>
                <w:vertAlign w:val="superscript"/>
                <w:lang w:eastAsia="es-AR"/>
              </w:rPr>
              <w:t xml:space="preserve"> </w:t>
            </w:r>
            <w:r w:rsidRPr="009451FB">
              <w:rPr>
                <w:rFonts w:ascii="Arial" w:eastAsia="Times New Roman" w:hAnsi="Arial" w:cs="Arial"/>
                <w:sz w:val="24"/>
                <w:szCs w:val="24"/>
                <w:lang w:eastAsia="es-AR"/>
              </w:rPr>
              <w:t>Valor de la celda con carácter indicativo (el coeficiente de variación aproximado supera el 20 %  hasta el 30%).</w:t>
            </w:r>
          </w:p>
        </w:tc>
        <w:tc>
          <w:tcPr>
            <w:tcW w:w="207" w:type="dxa"/>
            <w:tcBorders>
              <w:top w:val="nil"/>
              <w:left w:val="nil"/>
              <w:bottom w:val="nil"/>
              <w:right w:val="nil"/>
            </w:tcBorders>
            <w:shd w:val="clear" w:color="auto" w:fill="auto"/>
            <w:noWrap/>
            <w:vAlign w:val="bottom"/>
            <w:hideMark/>
          </w:tcPr>
          <w:p w14:paraId="34C6DA3C"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440FF2A1" w14:textId="77777777" w:rsidTr="00D42679">
        <w:trPr>
          <w:gridBefore w:val="1"/>
          <w:wBefore w:w="882" w:type="dxa"/>
          <w:trHeight w:val="300"/>
        </w:trPr>
        <w:tc>
          <w:tcPr>
            <w:tcW w:w="15032" w:type="dxa"/>
            <w:gridSpan w:val="25"/>
            <w:tcBorders>
              <w:top w:val="nil"/>
              <w:left w:val="nil"/>
              <w:bottom w:val="nil"/>
              <w:right w:val="nil"/>
            </w:tcBorders>
            <w:shd w:val="clear" w:color="auto" w:fill="auto"/>
            <w:noWrap/>
            <w:vAlign w:val="bottom"/>
            <w:hideMark/>
          </w:tcPr>
          <w:p w14:paraId="155680C9"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Datos que no corresponde presentar (el coeficiente de variación supera el 30%)</w:t>
            </w:r>
          </w:p>
        </w:tc>
        <w:tc>
          <w:tcPr>
            <w:tcW w:w="1200" w:type="dxa"/>
            <w:tcBorders>
              <w:top w:val="nil"/>
              <w:left w:val="nil"/>
              <w:bottom w:val="nil"/>
              <w:right w:val="nil"/>
            </w:tcBorders>
            <w:shd w:val="clear" w:color="auto" w:fill="auto"/>
            <w:noWrap/>
            <w:vAlign w:val="bottom"/>
            <w:hideMark/>
          </w:tcPr>
          <w:p w14:paraId="3297623B"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74A048A6"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7783E4D2" w14:textId="77777777" w:rsidTr="00D42679">
        <w:trPr>
          <w:gridBefore w:val="1"/>
          <w:wBefore w:w="882" w:type="dxa"/>
          <w:trHeight w:val="300"/>
        </w:trPr>
        <w:tc>
          <w:tcPr>
            <w:tcW w:w="16232" w:type="dxa"/>
            <w:gridSpan w:val="26"/>
            <w:tcBorders>
              <w:top w:val="nil"/>
              <w:left w:val="nil"/>
              <w:bottom w:val="nil"/>
              <w:right w:val="nil"/>
            </w:tcBorders>
            <w:shd w:val="clear" w:color="auto" w:fill="auto"/>
            <w:vAlign w:val="bottom"/>
            <w:hideMark/>
          </w:tcPr>
          <w:p w14:paraId="32DBDABD"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b/>
                <w:bCs/>
                <w:sz w:val="24"/>
                <w:szCs w:val="24"/>
                <w:lang w:eastAsia="es-AR"/>
              </w:rPr>
              <w:t>Nota:</w:t>
            </w:r>
            <w:r w:rsidRPr="009451FB">
              <w:rPr>
                <w:rFonts w:ascii="Arial" w:eastAsia="Times New Roman" w:hAnsi="Arial" w:cs="Arial"/>
                <w:sz w:val="24"/>
                <w:szCs w:val="24"/>
                <w:lang w:eastAsia="es-AR"/>
              </w:rPr>
              <w:t xml:space="preserve"> la suma de las cifras parciales difiere del total por procedimientos de redondeo.</w:t>
            </w:r>
          </w:p>
        </w:tc>
        <w:tc>
          <w:tcPr>
            <w:tcW w:w="207" w:type="dxa"/>
            <w:tcBorders>
              <w:top w:val="nil"/>
              <w:left w:val="nil"/>
              <w:bottom w:val="nil"/>
              <w:right w:val="nil"/>
            </w:tcBorders>
            <w:shd w:val="clear" w:color="auto" w:fill="auto"/>
            <w:vAlign w:val="bottom"/>
            <w:hideMark/>
          </w:tcPr>
          <w:p w14:paraId="37634CBE"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409292BF" w14:textId="77777777" w:rsidTr="00D42679">
        <w:trPr>
          <w:gridBefore w:val="1"/>
          <w:wBefore w:w="882" w:type="dxa"/>
          <w:trHeight w:val="300"/>
        </w:trPr>
        <w:tc>
          <w:tcPr>
            <w:tcW w:w="16232" w:type="dxa"/>
            <w:gridSpan w:val="26"/>
            <w:tcBorders>
              <w:top w:val="nil"/>
              <w:left w:val="nil"/>
              <w:bottom w:val="nil"/>
              <w:right w:val="nil"/>
            </w:tcBorders>
            <w:shd w:val="clear" w:color="auto" w:fill="auto"/>
            <w:noWrap/>
            <w:vAlign w:val="bottom"/>
            <w:hideMark/>
          </w:tcPr>
          <w:p w14:paraId="19EE374A" w14:textId="77777777" w:rsidR="00D42679" w:rsidRPr="009451FB" w:rsidRDefault="00D42679" w:rsidP="009451FB">
            <w:pPr>
              <w:spacing w:after="0" w:line="240" w:lineRule="auto"/>
              <w:jc w:val="both"/>
              <w:rPr>
                <w:rFonts w:ascii="Arial" w:eastAsia="Times New Roman" w:hAnsi="Arial" w:cs="Arial"/>
                <w:sz w:val="24"/>
                <w:szCs w:val="24"/>
                <w:lang w:eastAsia="es-AR"/>
              </w:rPr>
            </w:pPr>
            <w:r w:rsidRPr="009451FB">
              <w:rPr>
                <w:rFonts w:ascii="Arial" w:eastAsia="Times New Roman" w:hAnsi="Arial" w:cs="Arial"/>
                <w:b/>
                <w:bCs/>
                <w:sz w:val="24"/>
                <w:szCs w:val="24"/>
                <w:lang w:eastAsia="es-AR"/>
              </w:rPr>
              <w:t>Fuente:</w:t>
            </w:r>
            <w:r w:rsidRPr="009451FB">
              <w:rPr>
                <w:rFonts w:ascii="Arial" w:eastAsia="Times New Roman" w:hAnsi="Arial" w:cs="Arial"/>
                <w:sz w:val="24"/>
                <w:szCs w:val="24"/>
                <w:lang w:eastAsia="es-AR"/>
              </w:rPr>
              <w:t xml:space="preserve"> Dirección General de Estadística y Censos (Ministerio de Hacienda y Finanzas GCBA). EAH 2019</w:t>
            </w:r>
          </w:p>
        </w:tc>
        <w:tc>
          <w:tcPr>
            <w:tcW w:w="207" w:type="dxa"/>
            <w:tcBorders>
              <w:top w:val="nil"/>
              <w:left w:val="nil"/>
              <w:bottom w:val="nil"/>
              <w:right w:val="nil"/>
            </w:tcBorders>
            <w:shd w:val="clear" w:color="auto" w:fill="auto"/>
            <w:noWrap/>
            <w:vAlign w:val="bottom"/>
            <w:hideMark/>
          </w:tcPr>
          <w:p w14:paraId="62CBD40B"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r w:rsidR="00D42679" w:rsidRPr="009451FB" w14:paraId="7D602EFD" w14:textId="77777777" w:rsidTr="00D42679">
        <w:trPr>
          <w:gridBefore w:val="1"/>
          <w:wBefore w:w="882" w:type="dxa"/>
          <w:trHeight w:val="300"/>
        </w:trPr>
        <w:tc>
          <w:tcPr>
            <w:tcW w:w="1000" w:type="dxa"/>
            <w:tcBorders>
              <w:top w:val="nil"/>
              <w:left w:val="nil"/>
              <w:bottom w:val="nil"/>
              <w:right w:val="nil"/>
            </w:tcBorders>
            <w:shd w:val="clear" w:color="auto" w:fill="auto"/>
            <w:noWrap/>
            <w:vAlign w:val="bottom"/>
            <w:hideMark/>
          </w:tcPr>
          <w:p w14:paraId="521480AD"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77995E23"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51BD572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67C474E9"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11" w:type="dxa"/>
            <w:gridSpan w:val="3"/>
            <w:tcBorders>
              <w:top w:val="nil"/>
              <w:left w:val="nil"/>
              <w:bottom w:val="nil"/>
              <w:right w:val="nil"/>
            </w:tcBorders>
            <w:shd w:val="clear" w:color="auto" w:fill="auto"/>
            <w:noWrap/>
            <w:vAlign w:val="bottom"/>
            <w:hideMark/>
          </w:tcPr>
          <w:p w14:paraId="76C60C5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26D590C6"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6A1FC3E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5FAC9704"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3"/>
            <w:tcBorders>
              <w:top w:val="nil"/>
              <w:left w:val="nil"/>
              <w:bottom w:val="nil"/>
              <w:right w:val="nil"/>
            </w:tcBorders>
            <w:shd w:val="clear" w:color="auto" w:fill="auto"/>
            <w:noWrap/>
            <w:vAlign w:val="bottom"/>
            <w:hideMark/>
          </w:tcPr>
          <w:p w14:paraId="7B2A6392"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gridSpan w:val="2"/>
            <w:tcBorders>
              <w:top w:val="nil"/>
              <w:left w:val="nil"/>
              <w:bottom w:val="nil"/>
              <w:right w:val="nil"/>
            </w:tcBorders>
            <w:shd w:val="clear" w:color="auto" w:fill="auto"/>
            <w:noWrap/>
            <w:vAlign w:val="bottom"/>
            <w:hideMark/>
          </w:tcPr>
          <w:p w14:paraId="243AC031"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7CEBDDDB"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0" w:type="dxa"/>
            <w:tcBorders>
              <w:top w:val="nil"/>
              <w:left w:val="nil"/>
              <w:bottom w:val="nil"/>
              <w:right w:val="nil"/>
            </w:tcBorders>
            <w:shd w:val="clear" w:color="auto" w:fill="auto"/>
            <w:noWrap/>
            <w:vAlign w:val="bottom"/>
            <w:hideMark/>
          </w:tcPr>
          <w:p w14:paraId="7FAB1463"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613A27A7"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0F101E18"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785F2BD3"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762124D3"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1200" w:type="dxa"/>
            <w:tcBorders>
              <w:top w:val="nil"/>
              <w:left w:val="nil"/>
              <w:bottom w:val="nil"/>
              <w:right w:val="nil"/>
            </w:tcBorders>
            <w:shd w:val="clear" w:color="auto" w:fill="auto"/>
            <w:noWrap/>
            <w:vAlign w:val="bottom"/>
            <w:hideMark/>
          </w:tcPr>
          <w:p w14:paraId="708EB77F"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c>
          <w:tcPr>
            <w:tcW w:w="207" w:type="dxa"/>
            <w:tcBorders>
              <w:top w:val="nil"/>
              <w:left w:val="nil"/>
              <w:bottom w:val="nil"/>
              <w:right w:val="nil"/>
            </w:tcBorders>
            <w:shd w:val="clear" w:color="auto" w:fill="auto"/>
            <w:noWrap/>
            <w:vAlign w:val="bottom"/>
            <w:hideMark/>
          </w:tcPr>
          <w:p w14:paraId="2E22854A" w14:textId="77777777" w:rsidR="00D42679" w:rsidRPr="009451FB" w:rsidRDefault="00D42679" w:rsidP="009451FB">
            <w:pPr>
              <w:spacing w:after="0" w:line="240" w:lineRule="auto"/>
              <w:jc w:val="both"/>
              <w:rPr>
                <w:rFonts w:ascii="Arial" w:eastAsia="Times New Roman" w:hAnsi="Arial" w:cs="Arial"/>
                <w:sz w:val="24"/>
                <w:szCs w:val="24"/>
                <w:lang w:eastAsia="es-AR"/>
              </w:rPr>
            </w:pPr>
          </w:p>
        </w:tc>
      </w:tr>
    </w:tbl>
    <w:p w14:paraId="17CA69D2" w14:textId="0B28D547" w:rsidR="003038E9" w:rsidRPr="009451FB" w:rsidRDefault="003038E9" w:rsidP="009451FB">
      <w:pPr>
        <w:spacing w:line="240" w:lineRule="auto"/>
        <w:jc w:val="both"/>
        <w:rPr>
          <w:rFonts w:ascii="Arial" w:hAnsi="Arial" w:cs="Arial"/>
          <w:color w:val="000000"/>
          <w:sz w:val="24"/>
          <w:szCs w:val="24"/>
        </w:rPr>
      </w:pPr>
      <w:r w:rsidRPr="009451FB">
        <w:rPr>
          <w:rFonts w:ascii="Arial" w:hAnsi="Arial" w:cs="Arial"/>
          <w:b/>
          <w:bCs/>
          <w:color w:val="000000"/>
          <w:sz w:val="24"/>
          <w:szCs w:val="24"/>
        </w:rPr>
        <w:t>La cantidad madres que cuidan solas a sus hijos y que a la par trabajan fuera de su hogar se incrementó en los últimos 20 años, mientras que descendió en forma abrupta la denominada familia tradicional</w:t>
      </w:r>
      <w:r w:rsidRPr="009451FB">
        <w:rPr>
          <w:rFonts w:ascii="Arial" w:hAnsi="Arial" w:cs="Arial"/>
          <w:color w:val="000000"/>
          <w:sz w:val="24"/>
          <w:szCs w:val="24"/>
        </w:rPr>
        <w:t xml:space="preserve">, </w:t>
      </w:r>
      <w:r w:rsidRPr="009451FB">
        <w:rPr>
          <w:rFonts w:ascii="Arial" w:hAnsi="Arial" w:cs="Arial"/>
          <w:b/>
          <w:bCs/>
          <w:color w:val="000000"/>
          <w:sz w:val="24"/>
          <w:szCs w:val="24"/>
        </w:rPr>
        <w:t>pero las políticas públicas "continúan respondiendo" a este último esquema, según un informe</w:t>
      </w:r>
      <w:r w:rsidRPr="009451FB">
        <w:rPr>
          <w:rFonts w:ascii="Arial" w:hAnsi="Arial" w:cs="Arial"/>
          <w:color w:val="000000"/>
          <w:sz w:val="24"/>
          <w:szCs w:val="24"/>
        </w:rPr>
        <w:t xml:space="preserve"> del </w:t>
      </w:r>
      <w:hyperlink r:id="rId19" w:tgtFrame="_blank" w:history="1">
        <w:r w:rsidRPr="009451FB">
          <w:rPr>
            <w:rFonts w:ascii="Arial" w:hAnsi="Arial" w:cs="Arial"/>
            <w:b/>
            <w:bCs/>
            <w:color w:val="00468C"/>
            <w:sz w:val="24"/>
            <w:szCs w:val="24"/>
            <w:u w:val="single"/>
          </w:rPr>
          <w:t>Centro de Implementación de Políticas Públicas para la Equidad y el Crecimiento (Cippec)</w:t>
        </w:r>
      </w:hyperlink>
      <w:r w:rsidRPr="009451FB">
        <w:rPr>
          <w:rFonts w:ascii="Arial" w:hAnsi="Arial" w:cs="Arial"/>
          <w:color w:val="000000"/>
          <w:sz w:val="24"/>
          <w:szCs w:val="24"/>
        </w:rPr>
        <w:t>.</w:t>
      </w:r>
      <w:r w:rsidRPr="009451FB">
        <w:rPr>
          <w:rFonts w:ascii="Arial" w:hAnsi="Arial" w:cs="Arial"/>
          <w:color w:val="000000"/>
          <w:sz w:val="24"/>
          <w:szCs w:val="24"/>
        </w:rPr>
        <w:br/>
      </w:r>
      <w:r w:rsidRPr="009451FB">
        <w:rPr>
          <w:rFonts w:ascii="Arial" w:hAnsi="Arial" w:cs="Arial"/>
          <w:color w:val="000000"/>
          <w:sz w:val="24"/>
          <w:szCs w:val="24"/>
        </w:rPr>
        <w:br/>
        <w:t>El reporte difundido detalla que entre 1986 y 2018 aumentaron los casos de madres que crían solas a sus hijos del 12 al 19 % y que mayormente “se trata de madres que no han elegido voluntariamente criar solas y que enfrentan las responsabilidades de la maternidad junto con su trabajo fuera del hogar”.</w:t>
      </w:r>
      <w:r w:rsidRPr="009451FB">
        <w:rPr>
          <w:rFonts w:ascii="Arial" w:hAnsi="Arial" w:cs="Arial"/>
          <w:color w:val="000000"/>
          <w:sz w:val="24"/>
          <w:szCs w:val="24"/>
        </w:rPr>
        <w:br/>
      </w:r>
      <w:r w:rsidRPr="009451FB">
        <w:rPr>
          <w:rFonts w:ascii="Arial" w:hAnsi="Arial" w:cs="Arial"/>
          <w:color w:val="000000"/>
          <w:sz w:val="24"/>
          <w:szCs w:val="24"/>
        </w:rPr>
        <w:br/>
        <w:t>En tanto, las llamadas familias tradicionales, compuesta por madre, padre e hijos, disminuyó de un 47 a un 35% mientras que también se redujo la proporción de las llamadas “familias extendidas” (por ejemplo, con tíos y abuelos) con hijos.</w:t>
      </w:r>
      <w:r w:rsidRPr="009451FB">
        <w:rPr>
          <w:rFonts w:ascii="Arial" w:hAnsi="Arial" w:cs="Arial"/>
          <w:color w:val="000000"/>
          <w:sz w:val="24"/>
          <w:szCs w:val="24"/>
        </w:rPr>
        <w:br/>
      </w:r>
      <w:r w:rsidRPr="009451FB">
        <w:rPr>
          <w:rFonts w:ascii="Arial" w:hAnsi="Arial" w:cs="Arial"/>
          <w:color w:val="000000"/>
          <w:sz w:val="24"/>
          <w:szCs w:val="24"/>
        </w:rPr>
        <w:br/>
        <w:t>Además, los hogares con un solo proveedor varón disminuyeron significativamente, de 65% en 1986 a 35% en 2018, mientras que aumentaron los hogares de dos proveedores en el mismo período (de 29% a 40%).</w:t>
      </w:r>
      <w:r w:rsidRPr="009451FB">
        <w:rPr>
          <w:rFonts w:ascii="Arial" w:hAnsi="Arial" w:cs="Arial"/>
          <w:color w:val="000000"/>
          <w:sz w:val="24"/>
          <w:szCs w:val="24"/>
        </w:rPr>
        <w:br/>
      </w:r>
      <w:r w:rsidRPr="009451FB">
        <w:rPr>
          <w:rFonts w:ascii="Arial" w:hAnsi="Arial" w:cs="Arial"/>
          <w:color w:val="000000"/>
          <w:sz w:val="24"/>
          <w:szCs w:val="24"/>
        </w:rPr>
        <w:br/>
        <w:t xml:space="preserve">Cippec detalló que si se toman sólo los hogares de menores recursos estas proporciones se incrementan. La cantidad de familias con un solo adulto a cargo se duplicó de 14 a 31%, mientras que las familias tradicionales </w:t>
      </w:r>
      <w:proofErr w:type="gramStart"/>
      <w:r w:rsidRPr="009451FB">
        <w:rPr>
          <w:rFonts w:ascii="Arial" w:hAnsi="Arial" w:cs="Arial"/>
          <w:color w:val="000000"/>
          <w:sz w:val="24"/>
          <w:szCs w:val="24"/>
        </w:rPr>
        <w:t>cayó</w:t>
      </w:r>
      <w:proofErr w:type="gramEnd"/>
      <w:r w:rsidRPr="009451FB">
        <w:rPr>
          <w:rFonts w:ascii="Arial" w:hAnsi="Arial" w:cs="Arial"/>
          <w:color w:val="000000"/>
          <w:sz w:val="24"/>
          <w:szCs w:val="24"/>
        </w:rPr>
        <w:t xml:space="preserve"> 15 puntos, de 60 a 45%.</w:t>
      </w:r>
      <w:r w:rsidRPr="009451FB">
        <w:rPr>
          <w:rFonts w:ascii="Arial" w:hAnsi="Arial" w:cs="Arial"/>
          <w:color w:val="000000"/>
          <w:sz w:val="24"/>
          <w:szCs w:val="24"/>
        </w:rPr>
        <w:br/>
      </w:r>
      <w:r w:rsidRPr="009451FB">
        <w:rPr>
          <w:rFonts w:ascii="Arial" w:hAnsi="Arial" w:cs="Arial"/>
          <w:color w:val="000000"/>
          <w:sz w:val="24"/>
          <w:szCs w:val="24"/>
        </w:rPr>
        <w:br/>
        <w:t>En las familias de mejores ingresos, casi se duplicó el porcentaje de hogares con una sola persona a cargo o sin hijos, pasando de 32 a 60, mientras que las tradicionales descendieron del 40% en 1986 a 26 en el 2018.</w:t>
      </w:r>
      <w:r w:rsidRPr="009451FB">
        <w:rPr>
          <w:rFonts w:ascii="Arial" w:hAnsi="Arial" w:cs="Arial"/>
          <w:color w:val="000000"/>
          <w:sz w:val="24"/>
          <w:szCs w:val="24"/>
        </w:rPr>
        <w:br/>
      </w:r>
      <w:r w:rsidRPr="009451FB">
        <w:rPr>
          <w:rFonts w:ascii="Arial" w:hAnsi="Arial" w:cs="Arial"/>
          <w:color w:val="000000"/>
          <w:sz w:val="24"/>
          <w:szCs w:val="24"/>
        </w:rPr>
        <w:br/>
        <w:t>Además, la amplia mayoría de los hogares de menos ingresos siguen estando compuestos por familias con hijos (en 1986, el 86% de los hogares tenían hijos; en 2018, el 87%), mientras que en los de más ingresos disminuyó de manera pronunciada, de un 58 a un 36%</w:t>
      </w:r>
      <w:r w:rsidRPr="009451FB">
        <w:rPr>
          <w:rFonts w:ascii="Arial" w:hAnsi="Arial" w:cs="Arial"/>
          <w:color w:val="000000"/>
          <w:sz w:val="24"/>
          <w:szCs w:val="24"/>
        </w:rPr>
        <w:br/>
      </w:r>
      <w:r w:rsidRPr="009451FB">
        <w:rPr>
          <w:rFonts w:ascii="Arial" w:hAnsi="Arial" w:cs="Arial"/>
          <w:color w:val="000000"/>
          <w:sz w:val="24"/>
          <w:szCs w:val="24"/>
        </w:rPr>
        <w:br/>
        <w:t>El Cippec destacó que el crecimiento de los hogares monoparentales y con dos proveedores resalta la necesidad de crear "esquemas de políticas de cuidado que promuevan un sistema de corresponsabilidad social que fomente una distribución más equitativa entre mujeres y varones del trabajo vinculado a la crianza, el cuidado y a las tareas domésticas”.</w:t>
      </w:r>
    </w:p>
    <w:p w14:paraId="388AB1D3" w14:textId="3BD4CBDC" w:rsidR="00C00661" w:rsidRPr="009451FB" w:rsidRDefault="00C00661" w:rsidP="009451FB">
      <w:pPr>
        <w:spacing w:line="240" w:lineRule="auto"/>
        <w:jc w:val="both"/>
        <w:rPr>
          <w:rFonts w:ascii="Arial" w:hAnsi="Arial" w:cs="Arial"/>
          <w:color w:val="000000"/>
          <w:sz w:val="24"/>
          <w:szCs w:val="24"/>
        </w:rPr>
      </w:pPr>
    </w:p>
    <w:p w14:paraId="6D9D9973" w14:textId="15891B9A" w:rsidR="00C00661" w:rsidRPr="009451FB" w:rsidRDefault="00C00661" w:rsidP="009451FB">
      <w:pPr>
        <w:spacing w:line="240" w:lineRule="auto"/>
        <w:jc w:val="both"/>
        <w:rPr>
          <w:rFonts w:ascii="Arial" w:hAnsi="Arial" w:cs="Arial"/>
          <w:b/>
          <w:bCs/>
          <w:color w:val="000000"/>
          <w:sz w:val="24"/>
          <w:szCs w:val="24"/>
        </w:rPr>
      </w:pPr>
      <w:r w:rsidRPr="009451FB">
        <w:rPr>
          <w:rFonts w:ascii="Arial" w:hAnsi="Arial" w:cs="Arial"/>
          <w:b/>
          <w:bCs/>
          <w:color w:val="000000"/>
          <w:sz w:val="24"/>
          <w:szCs w:val="24"/>
        </w:rPr>
        <w:t xml:space="preserve">Estructura </w:t>
      </w:r>
      <w:r w:rsidR="0045568A" w:rsidRPr="009451FB">
        <w:rPr>
          <w:rFonts w:ascii="Arial" w:hAnsi="Arial" w:cs="Arial"/>
          <w:b/>
          <w:bCs/>
          <w:color w:val="000000"/>
          <w:sz w:val="24"/>
          <w:szCs w:val="24"/>
        </w:rPr>
        <w:t xml:space="preserve">y Tamaño </w:t>
      </w:r>
      <w:r w:rsidRPr="009451FB">
        <w:rPr>
          <w:rFonts w:ascii="Arial" w:hAnsi="Arial" w:cs="Arial"/>
          <w:b/>
          <w:bCs/>
          <w:color w:val="000000"/>
          <w:sz w:val="24"/>
          <w:szCs w:val="24"/>
        </w:rPr>
        <w:t>de los Hogares en la CABA año 2019</w:t>
      </w:r>
      <w:r w:rsidR="008B668A" w:rsidRPr="009451FB">
        <w:rPr>
          <w:rFonts w:ascii="Arial" w:hAnsi="Arial" w:cs="Arial"/>
          <w:b/>
          <w:bCs/>
          <w:color w:val="000000"/>
          <w:sz w:val="24"/>
          <w:szCs w:val="24"/>
        </w:rPr>
        <w:t xml:space="preserve"> </w:t>
      </w:r>
    </w:p>
    <w:p w14:paraId="0133B0E6" w14:textId="77777777" w:rsidR="003038E9" w:rsidRPr="009451FB" w:rsidRDefault="003038E9" w:rsidP="009451FB">
      <w:pPr>
        <w:spacing w:line="240" w:lineRule="auto"/>
        <w:jc w:val="both"/>
        <w:rPr>
          <w:rFonts w:ascii="Arial" w:hAnsi="Arial" w:cs="Arial"/>
          <w:sz w:val="24"/>
          <w:szCs w:val="24"/>
        </w:rPr>
      </w:pPr>
    </w:p>
    <w:p w14:paraId="22529F56" w14:textId="14E5BE64" w:rsidR="005F305B" w:rsidRPr="009451FB" w:rsidRDefault="00B6379A" w:rsidP="009451FB">
      <w:pPr>
        <w:spacing w:line="240" w:lineRule="auto"/>
        <w:jc w:val="both"/>
        <w:rPr>
          <w:rFonts w:ascii="Arial" w:hAnsi="Arial" w:cs="Arial"/>
          <w:sz w:val="24"/>
          <w:szCs w:val="24"/>
        </w:rPr>
      </w:pPr>
      <w:r w:rsidRPr="009451FB">
        <w:rPr>
          <w:rFonts w:ascii="Arial" w:hAnsi="Arial" w:cs="Arial"/>
          <w:b/>
          <w:bCs/>
          <w:sz w:val="24"/>
          <w:szCs w:val="24"/>
          <w:u w:val="single"/>
        </w:rPr>
        <w:t>2.</w:t>
      </w:r>
      <w:r w:rsidR="0021036B" w:rsidRPr="009451FB">
        <w:rPr>
          <w:rFonts w:ascii="Arial" w:hAnsi="Arial" w:cs="Arial"/>
          <w:b/>
          <w:bCs/>
          <w:sz w:val="24"/>
          <w:szCs w:val="24"/>
          <w:u w:val="single"/>
        </w:rPr>
        <w:t>8</w:t>
      </w:r>
      <w:r w:rsidRPr="009451FB">
        <w:rPr>
          <w:rFonts w:ascii="Arial" w:hAnsi="Arial" w:cs="Arial"/>
          <w:b/>
          <w:bCs/>
          <w:sz w:val="24"/>
          <w:szCs w:val="24"/>
          <w:u w:val="single"/>
        </w:rPr>
        <w:t xml:space="preserve">. Brecha de Género previsional y en la seguridad social. </w:t>
      </w:r>
      <w:r w:rsidR="009F5F14" w:rsidRPr="009451FB">
        <w:rPr>
          <w:rFonts w:ascii="Arial" w:hAnsi="Arial" w:cs="Arial"/>
          <w:b/>
          <w:bCs/>
          <w:sz w:val="24"/>
          <w:szCs w:val="24"/>
          <w:u w:val="single"/>
        </w:rPr>
        <w:t>Análisis del Sector Pasivo</w:t>
      </w:r>
      <w:r w:rsidR="00CD02A8" w:rsidRPr="009451FB">
        <w:rPr>
          <w:rFonts w:ascii="Arial" w:hAnsi="Arial" w:cs="Arial"/>
          <w:sz w:val="24"/>
          <w:szCs w:val="24"/>
        </w:rPr>
        <w:t xml:space="preserve"> </w:t>
      </w:r>
      <w:r w:rsidR="00CD02A8" w:rsidRPr="00DC34F9">
        <w:rPr>
          <w:rFonts w:ascii="Arial" w:hAnsi="Arial" w:cs="Arial"/>
          <w:sz w:val="20"/>
          <w:szCs w:val="20"/>
        </w:rPr>
        <w:t>(2)</w:t>
      </w:r>
    </w:p>
    <w:p w14:paraId="1EC49291" w14:textId="0E84D38A" w:rsidR="009F5F14" w:rsidRPr="009451FB" w:rsidRDefault="009F5F14" w:rsidP="009451FB">
      <w:pPr>
        <w:spacing w:line="240" w:lineRule="auto"/>
        <w:jc w:val="both"/>
        <w:rPr>
          <w:rFonts w:ascii="Arial" w:hAnsi="Arial" w:cs="Arial"/>
          <w:sz w:val="24"/>
          <w:szCs w:val="24"/>
        </w:rPr>
      </w:pPr>
      <w:r w:rsidRPr="009451FB">
        <w:rPr>
          <w:rFonts w:ascii="Arial" w:hAnsi="Arial" w:cs="Arial"/>
          <w:sz w:val="24"/>
          <w:szCs w:val="24"/>
        </w:rPr>
        <w:t xml:space="preserve">En la contracara de este análisis vemos cuál es la composición de los Pasivos, quienes accedieron a uno o más beneficios previsionales contributivos, jubilación o pensión. El primer ratio que llama la atención es la cantidad de mujeres que perciben un beneficio </w:t>
      </w:r>
    </w:p>
    <w:p w14:paraId="09AB0C3E" w14:textId="77777777" w:rsidR="0056494F" w:rsidRPr="009451FB" w:rsidRDefault="0056494F" w:rsidP="009451FB">
      <w:pPr>
        <w:spacing w:after="0" w:line="240" w:lineRule="auto"/>
        <w:jc w:val="both"/>
        <w:rPr>
          <w:rFonts w:ascii="Arial" w:eastAsia="Times New Roman" w:hAnsi="Arial" w:cs="Arial"/>
          <w:b/>
          <w:bCs/>
          <w:color w:val="0070C0"/>
          <w:sz w:val="24"/>
          <w:szCs w:val="24"/>
          <w:lang w:eastAsia="es-AR"/>
        </w:rPr>
      </w:pPr>
      <w:r w:rsidRPr="009451FB">
        <w:rPr>
          <w:rFonts w:ascii="Arial" w:eastAsia="Times New Roman" w:hAnsi="Arial" w:cs="Arial"/>
          <w:b/>
          <w:bCs/>
          <w:color w:val="0070C0"/>
          <w:sz w:val="24"/>
          <w:szCs w:val="24"/>
          <w:lang w:eastAsia="es-AR"/>
        </w:rPr>
        <w:t>BENEFICIARIOS DEL SISTEMA INTEGRADO PREVISIONAL ARGENTINO SEGÚN SEXO Y GRUPOS DE EDAD. JUNIO 2020</w:t>
      </w:r>
    </w:p>
    <w:p w14:paraId="18B41B32" w14:textId="203B180A" w:rsidR="0056494F" w:rsidRPr="009451FB" w:rsidRDefault="0056494F"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364B58EB" wp14:editId="039F0EAF">
            <wp:extent cx="5294779" cy="4210050"/>
            <wp:effectExtent l="0" t="0" r="1270" b="0"/>
            <wp:docPr id="15" name="Gráfico 15">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61603B0" w14:textId="09657597" w:rsidR="0056494F" w:rsidRPr="009451FB" w:rsidRDefault="0056494F" w:rsidP="009451FB">
      <w:pPr>
        <w:spacing w:line="240" w:lineRule="auto"/>
        <w:jc w:val="both"/>
        <w:rPr>
          <w:rFonts w:ascii="Arial" w:hAnsi="Arial" w:cs="Arial"/>
          <w:sz w:val="24"/>
          <w:szCs w:val="24"/>
        </w:rPr>
      </w:pPr>
    </w:p>
    <w:p w14:paraId="145CE73E" w14:textId="4B1FF0A4" w:rsidR="0056494F" w:rsidRPr="009451FB" w:rsidRDefault="0056494F" w:rsidP="009451FB">
      <w:pPr>
        <w:spacing w:line="240" w:lineRule="auto"/>
        <w:jc w:val="both"/>
        <w:rPr>
          <w:rFonts w:ascii="Arial" w:hAnsi="Arial" w:cs="Arial"/>
          <w:sz w:val="24"/>
          <w:szCs w:val="24"/>
        </w:rPr>
      </w:pPr>
    </w:p>
    <w:p w14:paraId="235FA97C" w14:textId="27F5AEB9" w:rsidR="0056494F" w:rsidRPr="009451FB" w:rsidRDefault="0056494F" w:rsidP="009451FB">
      <w:pPr>
        <w:spacing w:line="240" w:lineRule="auto"/>
        <w:jc w:val="both"/>
        <w:rPr>
          <w:rFonts w:ascii="Arial" w:hAnsi="Arial" w:cs="Arial"/>
          <w:sz w:val="24"/>
          <w:szCs w:val="24"/>
        </w:rPr>
      </w:pPr>
    </w:p>
    <w:p w14:paraId="173CBD49" w14:textId="768D5D7F" w:rsidR="0056494F" w:rsidRPr="009451FB" w:rsidRDefault="0056494F" w:rsidP="009451FB">
      <w:pPr>
        <w:spacing w:line="240" w:lineRule="auto"/>
        <w:jc w:val="both"/>
        <w:rPr>
          <w:rFonts w:ascii="Arial" w:hAnsi="Arial" w:cs="Arial"/>
          <w:sz w:val="24"/>
          <w:szCs w:val="24"/>
        </w:rPr>
      </w:pPr>
      <w:r w:rsidRPr="009451FB">
        <w:rPr>
          <w:rFonts w:ascii="Arial" w:hAnsi="Arial" w:cs="Arial"/>
          <w:sz w:val="24"/>
          <w:szCs w:val="24"/>
        </w:rPr>
        <w:t xml:space="preserve">Del total de Beneficiarios del </w:t>
      </w:r>
      <w:proofErr w:type="gramStart"/>
      <w:r w:rsidRPr="009451FB">
        <w:rPr>
          <w:rFonts w:ascii="Arial" w:hAnsi="Arial" w:cs="Arial"/>
          <w:sz w:val="24"/>
          <w:szCs w:val="24"/>
        </w:rPr>
        <w:t>SIPA ,</w:t>
      </w:r>
      <w:proofErr w:type="gramEnd"/>
      <w:r w:rsidRPr="009451FB">
        <w:rPr>
          <w:rFonts w:ascii="Arial" w:hAnsi="Arial" w:cs="Arial"/>
          <w:sz w:val="24"/>
          <w:szCs w:val="24"/>
        </w:rPr>
        <w:t xml:space="preserve"> que son 5.643.292 el 63.69% son mujeres o sea se trata de 3.593.974 mujeres de las cuales el 76% aproximadamente accedieron al beneficio mediante moratoria previsional. Mientras que los varones son </w:t>
      </w:r>
      <w:proofErr w:type="gramStart"/>
      <w:r w:rsidRPr="009451FB">
        <w:rPr>
          <w:rFonts w:ascii="Arial" w:hAnsi="Arial" w:cs="Arial"/>
          <w:sz w:val="24"/>
          <w:szCs w:val="24"/>
        </w:rPr>
        <w:t>2.049.311 ,</w:t>
      </w:r>
      <w:proofErr w:type="gramEnd"/>
      <w:r w:rsidRPr="009451FB">
        <w:rPr>
          <w:rFonts w:ascii="Arial" w:hAnsi="Arial" w:cs="Arial"/>
          <w:sz w:val="24"/>
          <w:szCs w:val="24"/>
        </w:rPr>
        <w:t xml:space="preserve"> el 36,31% del total . </w:t>
      </w:r>
    </w:p>
    <w:p w14:paraId="2848BFF5" w14:textId="68B44ADE" w:rsidR="00987DDE" w:rsidRPr="009451FB" w:rsidRDefault="00987DDE" w:rsidP="009451FB">
      <w:pPr>
        <w:spacing w:line="240" w:lineRule="auto"/>
        <w:jc w:val="both"/>
        <w:rPr>
          <w:rFonts w:ascii="Arial" w:hAnsi="Arial" w:cs="Arial"/>
          <w:sz w:val="24"/>
          <w:szCs w:val="24"/>
        </w:rPr>
      </w:pPr>
      <w:r w:rsidRPr="009451FB">
        <w:rPr>
          <w:rFonts w:ascii="Arial" w:hAnsi="Arial" w:cs="Arial"/>
          <w:sz w:val="24"/>
          <w:szCs w:val="24"/>
        </w:rPr>
        <w:t xml:space="preserve">Los haberes medio del sistema </w:t>
      </w:r>
      <w:proofErr w:type="gramStart"/>
      <w:r w:rsidRPr="009451FB">
        <w:rPr>
          <w:rFonts w:ascii="Arial" w:hAnsi="Arial" w:cs="Arial"/>
          <w:sz w:val="24"/>
          <w:szCs w:val="24"/>
        </w:rPr>
        <w:t>son ;</w:t>
      </w:r>
      <w:proofErr w:type="gramEnd"/>
      <w:r w:rsidRPr="009451FB">
        <w:rPr>
          <w:rFonts w:ascii="Arial" w:hAnsi="Arial" w:cs="Arial"/>
          <w:sz w:val="24"/>
          <w:szCs w:val="24"/>
        </w:rPr>
        <w:t xml:space="preserve"> el general $ 31.101 para varones es de $33.632 y para mujeres de $ 29.671. Si lo sesgamos por edad, en los de 65 años el haber medio es de $ 36.738 para varones y de $ 24.804 para mujeres.</w:t>
      </w:r>
    </w:p>
    <w:p w14:paraId="337257CA" w14:textId="2E6A0FA2" w:rsidR="00987DDE" w:rsidRPr="009451FB" w:rsidRDefault="00987DDE" w:rsidP="009451FB">
      <w:pPr>
        <w:spacing w:line="240" w:lineRule="auto"/>
        <w:jc w:val="both"/>
        <w:rPr>
          <w:rFonts w:ascii="Arial" w:hAnsi="Arial" w:cs="Arial"/>
          <w:sz w:val="24"/>
          <w:szCs w:val="24"/>
        </w:rPr>
      </w:pPr>
      <w:r w:rsidRPr="009451FB">
        <w:rPr>
          <w:rFonts w:ascii="Arial" w:hAnsi="Arial" w:cs="Arial"/>
          <w:sz w:val="24"/>
          <w:szCs w:val="24"/>
        </w:rPr>
        <w:t>Cuando vemos los haberes medios y que la mayor parte de quienes perciben el haber mínimo son mujeres, vemos la incidencia de dos factores:</w:t>
      </w:r>
    </w:p>
    <w:p w14:paraId="038101FF" w14:textId="242A3D2C" w:rsidR="00987DDE" w:rsidRPr="009451FB" w:rsidRDefault="00987DDE" w:rsidP="009451FB">
      <w:pPr>
        <w:pStyle w:val="Prrafodelista"/>
        <w:numPr>
          <w:ilvl w:val="0"/>
          <w:numId w:val="2"/>
        </w:numPr>
        <w:spacing w:line="240" w:lineRule="auto"/>
        <w:jc w:val="both"/>
        <w:rPr>
          <w:rFonts w:ascii="Arial" w:hAnsi="Arial" w:cs="Arial"/>
          <w:sz w:val="24"/>
          <w:szCs w:val="24"/>
        </w:rPr>
      </w:pPr>
      <w:r w:rsidRPr="009451FB">
        <w:rPr>
          <w:rFonts w:ascii="Arial" w:hAnsi="Arial" w:cs="Arial"/>
          <w:sz w:val="24"/>
          <w:szCs w:val="24"/>
        </w:rPr>
        <w:lastRenderedPageBreak/>
        <w:t xml:space="preserve">Que </w:t>
      </w:r>
      <w:proofErr w:type="spellStart"/>
      <w:r w:rsidRPr="009451FB">
        <w:rPr>
          <w:rFonts w:ascii="Arial" w:hAnsi="Arial" w:cs="Arial"/>
          <w:sz w:val="24"/>
          <w:szCs w:val="24"/>
        </w:rPr>
        <w:t>sino</w:t>
      </w:r>
      <w:proofErr w:type="spellEnd"/>
      <w:r w:rsidRPr="009451FB">
        <w:rPr>
          <w:rFonts w:ascii="Arial" w:hAnsi="Arial" w:cs="Arial"/>
          <w:sz w:val="24"/>
          <w:szCs w:val="24"/>
        </w:rPr>
        <w:t xml:space="preserve"> hubiera existido la moratoria muy pocas mujeres se hubieran podido jubilar, con lo cual esta fue una política que reconoció el trabajo no remunerado de las mujeres y sin</w:t>
      </w:r>
      <w:r w:rsidR="00F833B5" w:rsidRPr="009451FB">
        <w:rPr>
          <w:rFonts w:ascii="Arial" w:hAnsi="Arial" w:cs="Arial"/>
          <w:sz w:val="24"/>
          <w:szCs w:val="24"/>
        </w:rPr>
        <w:t xml:space="preserve"> haberse planteado este objetivo específico resultó en </w:t>
      </w:r>
      <w:r w:rsidRPr="009451FB">
        <w:rPr>
          <w:rFonts w:ascii="Arial" w:hAnsi="Arial" w:cs="Arial"/>
          <w:sz w:val="24"/>
          <w:szCs w:val="24"/>
        </w:rPr>
        <w:t>una política de reducción de la brecha de género.</w:t>
      </w:r>
    </w:p>
    <w:p w14:paraId="327D753E" w14:textId="4B480E5C" w:rsidR="00987DDE" w:rsidRPr="009451FB" w:rsidRDefault="00987DDE" w:rsidP="009451FB">
      <w:pPr>
        <w:pStyle w:val="Prrafodelista"/>
        <w:numPr>
          <w:ilvl w:val="0"/>
          <w:numId w:val="2"/>
        </w:numPr>
        <w:spacing w:line="240" w:lineRule="auto"/>
        <w:jc w:val="both"/>
        <w:rPr>
          <w:rFonts w:ascii="Arial" w:hAnsi="Arial" w:cs="Arial"/>
          <w:sz w:val="24"/>
          <w:szCs w:val="24"/>
        </w:rPr>
      </w:pPr>
      <w:r w:rsidRPr="009451FB">
        <w:rPr>
          <w:rFonts w:ascii="Arial" w:hAnsi="Arial" w:cs="Arial"/>
          <w:sz w:val="24"/>
          <w:szCs w:val="24"/>
        </w:rPr>
        <w:t>Que la mayor parte de los haberes mínimos son percibidos por mujeres.</w:t>
      </w:r>
    </w:p>
    <w:p w14:paraId="265BBD29" w14:textId="00AA167A" w:rsidR="00987DDE" w:rsidRPr="009451FB" w:rsidRDefault="00987DDE" w:rsidP="009451FB">
      <w:pPr>
        <w:pStyle w:val="Prrafodelista"/>
        <w:numPr>
          <w:ilvl w:val="0"/>
          <w:numId w:val="2"/>
        </w:numPr>
        <w:spacing w:line="240" w:lineRule="auto"/>
        <w:jc w:val="both"/>
        <w:rPr>
          <w:rFonts w:ascii="Arial" w:hAnsi="Arial" w:cs="Arial"/>
          <w:sz w:val="24"/>
          <w:szCs w:val="24"/>
        </w:rPr>
      </w:pPr>
      <w:r w:rsidRPr="009451FB">
        <w:rPr>
          <w:rFonts w:ascii="Arial" w:hAnsi="Arial" w:cs="Arial"/>
          <w:sz w:val="24"/>
          <w:szCs w:val="24"/>
        </w:rPr>
        <w:t>Decididamente la brecha de género impacta de lleno a la hora de acceder al “jubileo”</w:t>
      </w:r>
    </w:p>
    <w:p w14:paraId="182D0723" w14:textId="765E7B4C" w:rsidR="00987DDE" w:rsidRPr="009451FB" w:rsidRDefault="00987DDE" w:rsidP="009451FB">
      <w:pPr>
        <w:pStyle w:val="Prrafodelista"/>
        <w:spacing w:line="240" w:lineRule="auto"/>
        <w:jc w:val="both"/>
        <w:rPr>
          <w:rFonts w:ascii="Arial" w:hAnsi="Arial" w:cs="Arial"/>
          <w:sz w:val="24"/>
          <w:szCs w:val="24"/>
        </w:rPr>
      </w:pPr>
    </w:p>
    <w:p w14:paraId="21AD0434" w14:textId="31713593" w:rsidR="00813821" w:rsidRPr="009451FB" w:rsidRDefault="00813821" w:rsidP="009451FB">
      <w:pPr>
        <w:pStyle w:val="Prrafodelista"/>
        <w:spacing w:line="240" w:lineRule="auto"/>
        <w:jc w:val="both"/>
        <w:rPr>
          <w:rFonts w:ascii="Arial" w:hAnsi="Arial" w:cs="Arial"/>
          <w:sz w:val="24"/>
          <w:szCs w:val="24"/>
        </w:rPr>
      </w:pPr>
    </w:p>
    <w:p w14:paraId="27CF281E" w14:textId="77777777" w:rsidR="00B02E0F" w:rsidRPr="009451FB" w:rsidRDefault="00B02E0F" w:rsidP="009451FB">
      <w:pPr>
        <w:pStyle w:val="Prrafodelista"/>
        <w:spacing w:line="240" w:lineRule="auto"/>
        <w:jc w:val="both"/>
        <w:rPr>
          <w:rFonts w:ascii="Arial" w:hAnsi="Arial" w:cs="Arial"/>
          <w:sz w:val="24"/>
          <w:szCs w:val="24"/>
        </w:rPr>
      </w:pPr>
    </w:p>
    <w:p w14:paraId="27293982" w14:textId="7390021F" w:rsidR="00813821" w:rsidRPr="009451FB" w:rsidRDefault="00813821" w:rsidP="009451FB">
      <w:pPr>
        <w:pStyle w:val="Prrafodelista"/>
        <w:spacing w:line="240" w:lineRule="auto"/>
        <w:jc w:val="both"/>
        <w:rPr>
          <w:rFonts w:ascii="Arial" w:hAnsi="Arial" w:cs="Arial"/>
          <w:sz w:val="24"/>
          <w:szCs w:val="24"/>
        </w:rPr>
      </w:pPr>
    </w:p>
    <w:p w14:paraId="76AE4D8E" w14:textId="6B128A8F" w:rsidR="00813821" w:rsidRPr="009451FB" w:rsidRDefault="00B6379A" w:rsidP="009451FB">
      <w:pPr>
        <w:pStyle w:val="Prrafodelista"/>
        <w:spacing w:line="240" w:lineRule="auto"/>
        <w:ind w:left="0"/>
        <w:jc w:val="both"/>
        <w:rPr>
          <w:rFonts w:ascii="Arial" w:hAnsi="Arial" w:cs="Arial"/>
          <w:b/>
          <w:bCs/>
          <w:sz w:val="24"/>
          <w:szCs w:val="24"/>
        </w:rPr>
      </w:pPr>
      <w:r w:rsidRPr="009451FB">
        <w:rPr>
          <w:rFonts w:ascii="Arial" w:hAnsi="Arial" w:cs="Arial"/>
          <w:b/>
          <w:bCs/>
          <w:sz w:val="24"/>
          <w:szCs w:val="24"/>
          <w:u w:val="single"/>
        </w:rPr>
        <w:t>2.</w:t>
      </w:r>
      <w:r w:rsidR="0021036B" w:rsidRPr="009451FB">
        <w:rPr>
          <w:rFonts w:ascii="Arial" w:hAnsi="Arial" w:cs="Arial"/>
          <w:b/>
          <w:bCs/>
          <w:sz w:val="24"/>
          <w:szCs w:val="24"/>
          <w:u w:val="single"/>
        </w:rPr>
        <w:t>9</w:t>
      </w:r>
      <w:r w:rsidRPr="009451FB">
        <w:rPr>
          <w:rFonts w:ascii="Arial" w:hAnsi="Arial" w:cs="Arial"/>
          <w:b/>
          <w:bCs/>
          <w:sz w:val="24"/>
          <w:szCs w:val="24"/>
          <w:u w:val="single"/>
        </w:rPr>
        <w:t xml:space="preserve"> </w:t>
      </w:r>
      <w:r w:rsidR="00813821" w:rsidRPr="009451FB">
        <w:rPr>
          <w:rFonts w:ascii="Arial" w:hAnsi="Arial" w:cs="Arial"/>
          <w:b/>
          <w:bCs/>
          <w:sz w:val="24"/>
          <w:szCs w:val="24"/>
          <w:u w:val="single"/>
        </w:rPr>
        <w:t>Desempleo femenino</w:t>
      </w:r>
      <w:r w:rsidR="00771DC7" w:rsidRPr="009451FB">
        <w:rPr>
          <w:rFonts w:ascii="Arial" w:hAnsi="Arial" w:cs="Arial"/>
          <w:b/>
          <w:bCs/>
          <w:sz w:val="24"/>
          <w:szCs w:val="24"/>
        </w:rPr>
        <w:t xml:space="preserve"> </w:t>
      </w:r>
      <w:r w:rsidR="00771DC7" w:rsidRPr="00DC34F9">
        <w:rPr>
          <w:rFonts w:ascii="Arial" w:hAnsi="Arial" w:cs="Arial"/>
          <w:b/>
          <w:bCs/>
          <w:sz w:val="20"/>
          <w:szCs w:val="20"/>
        </w:rPr>
        <w:t>(5)</w:t>
      </w:r>
    </w:p>
    <w:p w14:paraId="092E1874" w14:textId="486CD855" w:rsidR="00B02E0F" w:rsidRPr="009451FB" w:rsidRDefault="00B02E0F" w:rsidP="009451FB">
      <w:pPr>
        <w:pStyle w:val="Prrafodelista"/>
        <w:spacing w:line="240" w:lineRule="auto"/>
        <w:ind w:left="0"/>
        <w:jc w:val="both"/>
        <w:rPr>
          <w:rFonts w:ascii="Arial" w:hAnsi="Arial" w:cs="Arial"/>
          <w:sz w:val="24"/>
          <w:szCs w:val="24"/>
        </w:rPr>
      </w:pPr>
    </w:p>
    <w:p w14:paraId="12B40594" w14:textId="35813D55" w:rsidR="00B02E0F"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Según Informe del INDEC para el segundo Trimestre de 2020 la tasa de desempleo del total de la economía es del 13,1</w:t>
      </w:r>
      <w:proofErr w:type="gramStart"/>
      <w:r w:rsidRPr="009451FB">
        <w:rPr>
          <w:rFonts w:ascii="Arial" w:hAnsi="Arial" w:cs="Arial"/>
          <w:sz w:val="24"/>
          <w:szCs w:val="24"/>
        </w:rPr>
        <w:t>% ,</w:t>
      </w:r>
      <w:proofErr w:type="gramEnd"/>
      <w:r w:rsidRPr="009451FB">
        <w:rPr>
          <w:rFonts w:ascii="Arial" w:hAnsi="Arial" w:cs="Arial"/>
          <w:sz w:val="24"/>
          <w:szCs w:val="24"/>
        </w:rPr>
        <w:t xml:space="preserve"> con una PEA Población Económicamente Activa del 61,60% , lo que representa 17,60 Millones de personas , la tasa de empleo cayó al 33,40% en este escenario de pandemia con 9,5 Millones de personas ocupadas y 1,4 millones de desocupados.</w:t>
      </w:r>
    </w:p>
    <w:p w14:paraId="3A1AA558" w14:textId="1C5ED7DE" w:rsidR="00B02E0F"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La tasa de desempleo general del 13,1% afecta más a las mujeres con un 13,5% mientras en los varones es del 12,80% , afectando mucho más a las mujeres más jóvenes entre 14 a 29 años , con un 28,5% mientras en los Jefes de Hogar la tasa de desempleo es del 8,30%.</w:t>
      </w:r>
    </w:p>
    <w:p w14:paraId="7D8C167E" w14:textId="71FF7DFB" w:rsidR="00B02E0F"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 xml:space="preserve">El correlato de estos valores en la Tasa de Empleo es </w:t>
      </w:r>
      <w:proofErr w:type="gramStart"/>
      <w:r w:rsidRPr="009451FB">
        <w:rPr>
          <w:rFonts w:ascii="Arial" w:hAnsi="Arial" w:cs="Arial"/>
          <w:sz w:val="24"/>
          <w:szCs w:val="24"/>
        </w:rPr>
        <w:t>ostensible :</w:t>
      </w:r>
      <w:proofErr w:type="gramEnd"/>
      <w:r w:rsidRPr="009451FB">
        <w:rPr>
          <w:rFonts w:ascii="Arial" w:hAnsi="Arial" w:cs="Arial"/>
          <w:sz w:val="24"/>
          <w:szCs w:val="24"/>
        </w:rPr>
        <w:t xml:space="preserve"> </w:t>
      </w:r>
    </w:p>
    <w:p w14:paraId="7190FE4A" w14:textId="6BB88C0D" w:rsidR="00B02E0F"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 xml:space="preserve">Tasa de empleo para varones entre 30 y 64 </w:t>
      </w:r>
      <w:proofErr w:type="gramStart"/>
      <w:r w:rsidRPr="009451FB">
        <w:rPr>
          <w:rFonts w:ascii="Arial" w:hAnsi="Arial" w:cs="Arial"/>
          <w:sz w:val="24"/>
          <w:szCs w:val="24"/>
        </w:rPr>
        <w:t>años :</w:t>
      </w:r>
      <w:proofErr w:type="gramEnd"/>
      <w:r w:rsidRPr="009451FB">
        <w:rPr>
          <w:rFonts w:ascii="Arial" w:hAnsi="Arial" w:cs="Arial"/>
          <w:sz w:val="24"/>
          <w:szCs w:val="24"/>
        </w:rPr>
        <w:t xml:space="preserve"> 42.88%</w:t>
      </w:r>
    </w:p>
    <w:p w14:paraId="21E1B993" w14:textId="303C7C36" w:rsidR="00B02E0F"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 xml:space="preserve">Tasa de empleo para mujeres entre 30 y 64 </w:t>
      </w:r>
      <w:proofErr w:type="gramStart"/>
      <w:r w:rsidRPr="009451FB">
        <w:rPr>
          <w:rFonts w:ascii="Arial" w:hAnsi="Arial" w:cs="Arial"/>
          <w:sz w:val="24"/>
          <w:szCs w:val="24"/>
        </w:rPr>
        <w:t>años :</w:t>
      </w:r>
      <w:proofErr w:type="gramEnd"/>
      <w:r w:rsidRPr="009451FB">
        <w:rPr>
          <w:rFonts w:ascii="Arial" w:hAnsi="Arial" w:cs="Arial"/>
          <w:sz w:val="24"/>
          <w:szCs w:val="24"/>
        </w:rPr>
        <w:t xml:space="preserve"> 34.40%</w:t>
      </w:r>
    </w:p>
    <w:p w14:paraId="6168780A" w14:textId="2E14609C" w:rsidR="00EE31A6" w:rsidRPr="009451FB" w:rsidRDefault="00B02E0F"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Tasa de empleo para varones hasta 29 años</w:t>
      </w:r>
      <w:r w:rsidR="00D066D5" w:rsidRPr="009451FB">
        <w:rPr>
          <w:rFonts w:ascii="Arial" w:hAnsi="Arial" w:cs="Arial"/>
          <w:sz w:val="24"/>
          <w:szCs w:val="24"/>
        </w:rPr>
        <w:t>: 11.70%</w:t>
      </w:r>
    </w:p>
    <w:p w14:paraId="4A3F58E4" w14:textId="64343540" w:rsidR="000642EA" w:rsidRPr="009451FB" w:rsidRDefault="000642EA"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 xml:space="preserve">Tasa de empleo para mujeres hasta 29 años: </w:t>
      </w:r>
      <w:r w:rsidR="00D066D5" w:rsidRPr="009451FB">
        <w:rPr>
          <w:rFonts w:ascii="Arial" w:hAnsi="Arial" w:cs="Arial"/>
          <w:sz w:val="24"/>
          <w:szCs w:val="24"/>
        </w:rPr>
        <w:t>8.10%</w:t>
      </w:r>
    </w:p>
    <w:p w14:paraId="534DDC6E" w14:textId="082E3D18" w:rsidR="000642EA" w:rsidRPr="009451FB" w:rsidRDefault="0081321D"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Estos números hablan por sí solos de la feminización de la pobreza.</w:t>
      </w:r>
    </w:p>
    <w:p w14:paraId="28F90C1D" w14:textId="75526E87" w:rsidR="000642EA" w:rsidRPr="009451FB" w:rsidRDefault="000642EA" w:rsidP="009451FB">
      <w:pPr>
        <w:pStyle w:val="Prrafodelista"/>
        <w:spacing w:line="240" w:lineRule="auto"/>
        <w:ind w:left="0"/>
        <w:jc w:val="both"/>
        <w:rPr>
          <w:rFonts w:ascii="Arial" w:hAnsi="Arial" w:cs="Arial"/>
          <w:sz w:val="24"/>
          <w:szCs w:val="24"/>
        </w:rPr>
      </w:pPr>
    </w:p>
    <w:p w14:paraId="7B830D9E" w14:textId="7D7D7FAB" w:rsidR="0069420F" w:rsidRPr="009451FB" w:rsidRDefault="00B6379A" w:rsidP="009451FB">
      <w:pPr>
        <w:pStyle w:val="Prrafodelista"/>
        <w:spacing w:line="240" w:lineRule="auto"/>
        <w:ind w:left="0"/>
        <w:jc w:val="both"/>
        <w:rPr>
          <w:rFonts w:ascii="Arial" w:hAnsi="Arial" w:cs="Arial"/>
          <w:b/>
          <w:bCs/>
          <w:sz w:val="24"/>
          <w:szCs w:val="24"/>
          <w:u w:val="single"/>
        </w:rPr>
      </w:pPr>
      <w:r w:rsidRPr="009451FB">
        <w:rPr>
          <w:rFonts w:ascii="Arial" w:hAnsi="Arial" w:cs="Arial"/>
          <w:b/>
          <w:bCs/>
          <w:sz w:val="24"/>
          <w:szCs w:val="24"/>
          <w:u w:val="single"/>
        </w:rPr>
        <w:t>3</w:t>
      </w:r>
      <w:r w:rsidR="0021036B" w:rsidRPr="009451FB">
        <w:rPr>
          <w:rFonts w:ascii="Arial" w:hAnsi="Arial" w:cs="Arial"/>
          <w:b/>
          <w:bCs/>
          <w:sz w:val="24"/>
          <w:szCs w:val="24"/>
          <w:u w:val="single"/>
        </w:rPr>
        <w:t>.</w:t>
      </w:r>
      <w:r w:rsidRPr="009451FB">
        <w:rPr>
          <w:rFonts w:ascii="Arial" w:hAnsi="Arial" w:cs="Arial"/>
          <w:b/>
          <w:bCs/>
          <w:sz w:val="24"/>
          <w:szCs w:val="24"/>
          <w:u w:val="single"/>
        </w:rPr>
        <w:t xml:space="preserve"> </w:t>
      </w:r>
      <w:r w:rsidR="000642EA" w:rsidRPr="009451FB">
        <w:rPr>
          <w:rFonts w:ascii="Arial" w:hAnsi="Arial" w:cs="Arial"/>
          <w:b/>
          <w:bCs/>
          <w:sz w:val="24"/>
          <w:szCs w:val="24"/>
          <w:u w:val="single"/>
        </w:rPr>
        <w:t xml:space="preserve">Normas y Políticas para </w:t>
      </w:r>
      <w:r w:rsidR="0069420F" w:rsidRPr="009451FB">
        <w:rPr>
          <w:rFonts w:ascii="Arial" w:hAnsi="Arial" w:cs="Arial"/>
          <w:b/>
          <w:bCs/>
          <w:sz w:val="24"/>
          <w:szCs w:val="24"/>
          <w:u w:val="single"/>
        </w:rPr>
        <w:t>reducir la brecha de Género:</w:t>
      </w:r>
    </w:p>
    <w:p w14:paraId="65F8FABA" w14:textId="1BB7A317" w:rsidR="00E50F36" w:rsidRPr="009451FB" w:rsidRDefault="00E50F36" w:rsidP="009451FB">
      <w:pPr>
        <w:pStyle w:val="Prrafodelista"/>
        <w:spacing w:line="240" w:lineRule="auto"/>
        <w:ind w:left="0"/>
        <w:jc w:val="both"/>
        <w:rPr>
          <w:rFonts w:ascii="Arial" w:hAnsi="Arial" w:cs="Arial"/>
          <w:b/>
          <w:bCs/>
          <w:sz w:val="24"/>
          <w:szCs w:val="24"/>
          <w:u w:val="single"/>
        </w:rPr>
      </w:pPr>
    </w:p>
    <w:p w14:paraId="6EF863F2" w14:textId="67FC27FA" w:rsidR="00E50F36" w:rsidRPr="009451FB" w:rsidRDefault="00E50F36" w:rsidP="009451FB">
      <w:pPr>
        <w:pStyle w:val="Prrafodelista"/>
        <w:spacing w:line="240" w:lineRule="auto"/>
        <w:ind w:left="0"/>
        <w:jc w:val="both"/>
        <w:rPr>
          <w:rFonts w:ascii="Arial" w:hAnsi="Arial" w:cs="Arial"/>
          <w:sz w:val="24"/>
          <w:szCs w:val="24"/>
        </w:rPr>
      </w:pPr>
      <w:r w:rsidRPr="009451FB">
        <w:rPr>
          <w:rFonts w:ascii="Arial" w:hAnsi="Arial" w:cs="Arial"/>
          <w:sz w:val="24"/>
          <w:szCs w:val="24"/>
        </w:rPr>
        <w:t>Constitución Nacional:</w:t>
      </w:r>
    </w:p>
    <w:p w14:paraId="2B6AFCCD" w14:textId="77777777" w:rsidR="00E50F36" w:rsidRPr="009451FB" w:rsidRDefault="00E50F36" w:rsidP="009451FB">
      <w:pPr>
        <w:pStyle w:val="Prrafodelista"/>
        <w:spacing w:line="240" w:lineRule="auto"/>
        <w:ind w:left="0"/>
        <w:jc w:val="both"/>
        <w:rPr>
          <w:rFonts w:ascii="Arial" w:hAnsi="Arial" w:cs="Arial"/>
          <w:b/>
          <w:bCs/>
          <w:sz w:val="24"/>
          <w:szCs w:val="24"/>
          <w:u w:val="single"/>
        </w:rPr>
      </w:pPr>
    </w:p>
    <w:p w14:paraId="0B2782F0" w14:textId="4D06ABED" w:rsidR="0069420F" w:rsidRPr="009451FB" w:rsidRDefault="009F4213" w:rsidP="009451FB">
      <w:pPr>
        <w:pStyle w:val="Prrafodelista"/>
        <w:numPr>
          <w:ilvl w:val="0"/>
          <w:numId w:val="4"/>
        </w:numPr>
        <w:tabs>
          <w:tab w:val="clear" w:pos="-210"/>
          <w:tab w:val="num" w:pos="360"/>
        </w:tabs>
        <w:spacing w:after="0" w:line="240" w:lineRule="auto"/>
        <w:ind w:left="360"/>
        <w:jc w:val="both"/>
        <w:rPr>
          <w:rFonts w:ascii="Arial" w:eastAsia="Times New Roman" w:hAnsi="Arial" w:cs="Arial"/>
          <w:sz w:val="24"/>
          <w:szCs w:val="24"/>
          <w:lang w:eastAsia="es-AR"/>
        </w:rPr>
      </w:pPr>
      <w:r w:rsidRPr="009451FB">
        <w:rPr>
          <w:rFonts w:ascii="Arial" w:eastAsiaTheme="minorEastAsia" w:hAnsi="Arial" w:cs="Arial"/>
          <w:sz w:val="24"/>
          <w:szCs w:val="24"/>
          <w:lang w:eastAsia="es-AR"/>
        </w:rPr>
        <w:t xml:space="preserve">La </w:t>
      </w:r>
      <w:r w:rsidR="0069420F" w:rsidRPr="009451FB">
        <w:rPr>
          <w:rFonts w:ascii="Arial" w:eastAsiaTheme="minorEastAsia" w:hAnsi="Arial" w:cs="Arial"/>
          <w:sz w:val="24"/>
          <w:szCs w:val="24"/>
          <w:lang w:eastAsia="es-AR"/>
        </w:rPr>
        <w:t>Reforma Constitucional de 1994</w:t>
      </w:r>
      <w:r w:rsidRPr="009451FB">
        <w:rPr>
          <w:rFonts w:ascii="Arial" w:eastAsiaTheme="minorEastAsia" w:hAnsi="Arial" w:cs="Arial"/>
          <w:sz w:val="24"/>
          <w:szCs w:val="24"/>
          <w:lang w:eastAsia="es-AR"/>
        </w:rPr>
        <w:t xml:space="preserve"> le o</w:t>
      </w:r>
      <w:r w:rsidR="0069420F" w:rsidRPr="009451FB">
        <w:rPr>
          <w:rFonts w:ascii="Arial" w:eastAsiaTheme="minorEastAsia" w:hAnsi="Arial" w:cs="Arial"/>
          <w:sz w:val="24"/>
          <w:szCs w:val="24"/>
          <w:lang w:eastAsia="es-AR"/>
        </w:rPr>
        <w:t>torga jerarquía constitucional a</w:t>
      </w:r>
      <w:r w:rsidR="00B6379A" w:rsidRPr="009451FB">
        <w:rPr>
          <w:rFonts w:ascii="Arial" w:eastAsiaTheme="minorEastAsia" w:hAnsi="Arial" w:cs="Arial"/>
          <w:sz w:val="24"/>
          <w:szCs w:val="24"/>
          <w:lang w:eastAsia="es-AR"/>
        </w:rPr>
        <w:t xml:space="preserve"> la</w:t>
      </w:r>
      <w:r w:rsidR="00A45AF2" w:rsidRPr="009451FB">
        <w:rPr>
          <w:rFonts w:ascii="Arial" w:hAnsi="Arial" w:cs="Arial"/>
          <w:sz w:val="24"/>
          <w:szCs w:val="24"/>
          <w:shd w:val="clear" w:color="auto" w:fill="FFFFFF"/>
        </w:rPr>
        <w:t xml:space="preserve"> Convención sobre la Eliminación de toda forma de Discriminación contra la Mujer (CEDAW son sus siglas en inglés), aprobada por Naciones Unidas en 1979 </w:t>
      </w:r>
      <w:r w:rsidR="0069420F" w:rsidRPr="009451FB">
        <w:rPr>
          <w:rFonts w:ascii="Arial" w:eastAsiaTheme="minorEastAsia" w:hAnsi="Arial" w:cs="Arial"/>
          <w:sz w:val="24"/>
          <w:szCs w:val="24"/>
          <w:lang w:eastAsia="es-AR"/>
        </w:rPr>
        <w:t xml:space="preserve"> También atribuye al Congreso nacional la facultad de promover medidas de acción positiva que garanticen la igualdad real de oportunidades y de trato, y el pleno goce y el ejercicio de los derechos reconocidos por ella y por los Tratados Internacionales (art. 75, inc. 23)</w:t>
      </w:r>
      <w:r w:rsidRPr="009451FB">
        <w:rPr>
          <w:rFonts w:ascii="Arial" w:eastAsiaTheme="minorEastAsia" w:hAnsi="Arial" w:cs="Arial"/>
          <w:sz w:val="24"/>
          <w:szCs w:val="24"/>
          <w:lang w:eastAsia="es-AR"/>
        </w:rPr>
        <w:t>.</w:t>
      </w:r>
    </w:p>
    <w:p w14:paraId="13FE7539" w14:textId="77777777" w:rsidR="009F4213" w:rsidRPr="009451FB" w:rsidRDefault="009F4213" w:rsidP="009451FB">
      <w:pPr>
        <w:spacing w:after="0" w:line="240" w:lineRule="auto"/>
        <w:ind w:left="2269"/>
        <w:contextualSpacing/>
        <w:jc w:val="both"/>
        <w:rPr>
          <w:rFonts w:ascii="Arial" w:eastAsia="Times New Roman" w:hAnsi="Arial" w:cs="Arial"/>
          <w:sz w:val="24"/>
          <w:szCs w:val="24"/>
          <w:lang w:eastAsia="es-AR"/>
        </w:rPr>
      </w:pPr>
    </w:p>
    <w:p w14:paraId="7F20A660" w14:textId="2352DE85" w:rsidR="00A45AF2" w:rsidRPr="009451FB" w:rsidRDefault="00A45AF2" w:rsidP="009451FB">
      <w:pPr>
        <w:numPr>
          <w:ilvl w:val="1"/>
          <w:numId w:val="4"/>
        </w:numPr>
        <w:tabs>
          <w:tab w:val="clear" w:pos="510"/>
          <w:tab w:val="num" w:pos="1080"/>
        </w:tabs>
        <w:spacing w:after="0" w:line="240" w:lineRule="auto"/>
        <w:ind w:left="1080"/>
        <w:contextualSpacing/>
        <w:jc w:val="both"/>
        <w:rPr>
          <w:rFonts w:ascii="Arial" w:eastAsia="Times New Roman" w:hAnsi="Arial" w:cs="Arial"/>
          <w:sz w:val="24"/>
          <w:szCs w:val="24"/>
          <w:lang w:eastAsia="es-AR"/>
        </w:rPr>
      </w:pPr>
      <w:r w:rsidRPr="009451FB">
        <w:rPr>
          <w:rFonts w:ascii="Arial" w:eastAsiaTheme="minorEastAsia" w:hAnsi="Arial" w:cs="Arial"/>
          <w:sz w:val="24"/>
          <w:szCs w:val="24"/>
          <w:lang w:eastAsia="es-AR"/>
        </w:rPr>
        <w:t>Principio constitucional de igual remuneración por igual tarea</w:t>
      </w:r>
      <w:r w:rsidR="00BF2EBC" w:rsidRPr="009451FB">
        <w:rPr>
          <w:rFonts w:ascii="Arial" w:eastAsia="Times New Roman" w:hAnsi="Arial" w:cs="Arial"/>
          <w:sz w:val="24"/>
          <w:szCs w:val="24"/>
          <w:lang w:eastAsia="es-AR"/>
        </w:rPr>
        <w:t xml:space="preserve"> art 14 bis. Igualdad ante la Ley art 16. Los demás tratados internacionales sobre Derechos Humanos</w:t>
      </w:r>
      <w:r w:rsidRPr="009451FB">
        <w:rPr>
          <w:rFonts w:ascii="Arial" w:eastAsia="Times New Roman" w:hAnsi="Arial" w:cs="Arial"/>
          <w:sz w:val="24"/>
          <w:szCs w:val="24"/>
          <w:lang w:eastAsia="es-AR"/>
        </w:rPr>
        <w:t xml:space="preserve"> </w:t>
      </w:r>
      <w:r w:rsidR="00BF2EBC" w:rsidRPr="009451FB">
        <w:rPr>
          <w:rFonts w:ascii="Arial" w:eastAsia="Times New Roman" w:hAnsi="Arial" w:cs="Arial"/>
          <w:sz w:val="24"/>
          <w:szCs w:val="24"/>
          <w:lang w:eastAsia="es-AR"/>
        </w:rPr>
        <w:t>incorporados con la Reforma</w:t>
      </w:r>
      <w:r w:rsidR="009F4213" w:rsidRPr="009451FB">
        <w:rPr>
          <w:rFonts w:ascii="Arial" w:eastAsia="Times New Roman" w:hAnsi="Arial" w:cs="Arial"/>
          <w:sz w:val="24"/>
          <w:szCs w:val="24"/>
          <w:lang w:eastAsia="es-AR"/>
        </w:rPr>
        <w:t xml:space="preserve"> constitucional</w:t>
      </w:r>
      <w:r w:rsidR="00BF2EBC" w:rsidRPr="009451FB">
        <w:rPr>
          <w:rFonts w:ascii="Arial" w:eastAsia="Times New Roman" w:hAnsi="Arial" w:cs="Arial"/>
          <w:sz w:val="24"/>
          <w:szCs w:val="24"/>
          <w:lang w:eastAsia="es-AR"/>
        </w:rPr>
        <w:t xml:space="preserve"> de 1994.</w:t>
      </w:r>
    </w:p>
    <w:p w14:paraId="08A234A6" w14:textId="4F9691C3" w:rsidR="00922BE4" w:rsidRPr="009451FB" w:rsidRDefault="00922BE4" w:rsidP="009451FB">
      <w:pPr>
        <w:pStyle w:val="Prrafodelista"/>
        <w:numPr>
          <w:ilvl w:val="1"/>
          <w:numId w:val="4"/>
        </w:numPr>
        <w:tabs>
          <w:tab w:val="clear" w:pos="510"/>
          <w:tab w:val="num" w:pos="1080"/>
        </w:tabs>
        <w:spacing w:line="240" w:lineRule="auto"/>
        <w:ind w:left="1080"/>
        <w:jc w:val="both"/>
        <w:rPr>
          <w:rFonts w:ascii="Arial" w:hAnsi="Arial" w:cs="Arial"/>
          <w:sz w:val="24"/>
          <w:szCs w:val="24"/>
        </w:rPr>
      </w:pPr>
      <w:r w:rsidRPr="009451FB">
        <w:rPr>
          <w:rFonts w:ascii="Arial" w:hAnsi="Arial" w:cs="Arial"/>
          <w:sz w:val="24"/>
          <w:szCs w:val="24"/>
        </w:rPr>
        <w:t xml:space="preserve">Convenio 190 OIT Sobre la violencia y el acoso, año </w:t>
      </w:r>
      <w:proofErr w:type="gramStart"/>
      <w:r w:rsidRPr="009451FB">
        <w:rPr>
          <w:rFonts w:ascii="Arial" w:hAnsi="Arial" w:cs="Arial"/>
          <w:sz w:val="24"/>
          <w:szCs w:val="24"/>
        </w:rPr>
        <w:t>2019 ,</w:t>
      </w:r>
      <w:proofErr w:type="gramEnd"/>
      <w:r w:rsidRPr="009451FB">
        <w:rPr>
          <w:rFonts w:ascii="Arial" w:hAnsi="Arial" w:cs="Arial"/>
          <w:sz w:val="24"/>
          <w:szCs w:val="24"/>
        </w:rPr>
        <w:t xml:space="preserve"> </w:t>
      </w:r>
      <w:r w:rsidR="00A37656" w:rsidRPr="009451FB">
        <w:rPr>
          <w:rFonts w:ascii="Arial" w:hAnsi="Arial" w:cs="Arial"/>
          <w:sz w:val="24"/>
          <w:szCs w:val="24"/>
        </w:rPr>
        <w:t xml:space="preserve">  </w:t>
      </w:r>
      <w:r w:rsidRPr="009451FB">
        <w:rPr>
          <w:rFonts w:ascii="Arial" w:hAnsi="Arial" w:cs="Arial"/>
          <w:sz w:val="24"/>
          <w:szCs w:val="24"/>
        </w:rPr>
        <w:t xml:space="preserve">establece que la violencia y el acoso en el ámbito laboral, pueden constituir una violación a los derechos humanos, resultando </w:t>
      </w:r>
      <w:r w:rsidR="00A45AF2" w:rsidRPr="009451FB">
        <w:rPr>
          <w:rFonts w:ascii="Arial" w:hAnsi="Arial" w:cs="Arial"/>
          <w:sz w:val="24"/>
          <w:szCs w:val="24"/>
        </w:rPr>
        <w:t>en una amenaza para la igualdad de oportunidades, que está próximo a convertirse en Ley y tener así jerarquía constitucional.</w:t>
      </w:r>
    </w:p>
    <w:p w14:paraId="1FF82077" w14:textId="655748F9" w:rsidR="0069420F" w:rsidRPr="009451FB" w:rsidRDefault="009F4213" w:rsidP="009451FB">
      <w:pPr>
        <w:spacing w:before="840" w:after="0" w:line="240" w:lineRule="auto"/>
        <w:ind w:left="979" w:hanging="979"/>
        <w:jc w:val="both"/>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Leyes Nacionales sobre</w:t>
      </w:r>
      <w:r w:rsidR="0069420F"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autonomía económica</w:t>
      </w: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0D02493B" w14:textId="1657B46F" w:rsidR="0069420F" w:rsidRPr="009451FB" w:rsidRDefault="0069420F" w:rsidP="009451FB">
      <w:pPr>
        <w:pStyle w:val="Prrafodelista"/>
        <w:numPr>
          <w:ilvl w:val="0"/>
          <w:numId w:val="5"/>
        </w:numPr>
        <w:spacing w:after="0" w:line="240" w:lineRule="auto"/>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de Contrato de Trabajo, N° 20.744, de 1976: Es taxativa al prohibir cualquier tipo de discriminación entre las personas trabajadoras por todos los motivos posibles, incluido el sexo</w:t>
      </w:r>
      <w:r w:rsidR="00A45AF2"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2C5CD694" w14:textId="33CA2893" w:rsidR="0069420F" w:rsidRPr="009451FB" w:rsidRDefault="00F44B23" w:rsidP="009451FB">
      <w:pPr>
        <w:numPr>
          <w:ilvl w:val="0"/>
          <w:numId w:val="5"/>
        </w:numPr>
        <w:spacing w:after="0" w:line="240" w:lineRule="auto"/>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de Promoción de la Economía del Conocimiento, recientemente sancionada por la </w:t>
      </w:r>
      <w:r w:rsidR="002D3AA0"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Honorable Cámara de Diputados, otorga un Bono de Crédito fiscal para ser aplicado al pago del Impuesto al Valor Agregado, del 70% de las </w:t>
      </w:r>
      <w:r w:rsidR="006D150C"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contribuciones patronales </w:t>
      </w:r>
      <w:r w:rsidR="002D3AA0"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de la nómina, para el caso de nuevas incorporaciones de mujeres, </w:t>
      </w:r>
      <w:r w:rsidR="006D150C"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personas travestis, transexuales o transgénero, hayan o no registrado sus datos de acuerdo a la ley de identidad de género N° 26.743</w:t>
      </w:r>
      <w:proofErr w:type="gramStart"/>
      <w:r w:rsidR="006D150C"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su</w:t>
      </w:r>
      <w:r w:rsidR="00E50F36"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006D150C"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titución</w:t>
      </w:r>
      <w:proofErr w:type="gramEnd"/>
      <w:r w:rsidR="006D150C"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del art. 9 de la ley 27.506)</w:t>
      </w:r>
      <w:r w:rsidR="009F4213"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343D590B" w14:textId="77777777" w:rsidR="009F4213" w:rsidRPr="009451FB" w:rsidRDefault="009F4213" w:rsidP="009451FB">
      <w:pPr>
        <w:spacing w:after="0" w:line="240" w:lineRule="auto"/>
        <w:contextualSpacing/>
        <w:jc w:val="both"/>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BC0014D" w14:textId="1A1A5398" w:rsidR="0069420F" w:rsidRPr="009451FB" w:rsidRDefault="009F4213" w:rsidP="009451FB">
      <w:pPr>
        <w:spacing w:after="0" w:line="240" w:lineRule="auto"/>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Leyes Nacionales sobre participación en la toma de decisiones:</w:t>
      </w:r>
    </w:p>
    <w:p w14:paraId="7FFEA888" w14:textId="77777777" w:rsidR="0069420F" w:rsidRPr="009451FB" w:rsidRDefault="0069420F" w:rsidP="009451FB">
      <w:pPr>
        <w:numPr>
          <w:ilvl w:val="0"/>
          <w:numId w:val="6"/>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de Cupo, permitió ampliar la participación política de las mujeres Ley 24012. 1991</w:t>
      </w:r>
    </w:p>
    <w:p w14:paraId="67946722" w14:textId="77777777" w:rsidR="0069420F" w:rsidRPr="009451FB" w:rsidRDefault="0069420F" w:rsidP="009451FB">
      <w:pPr>
        <w:numPr>
          <w:ilvl w:val="0"/>
          <w:numId w:val="6"/>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de Cupo Sindical, N° 25.674, de 2002: Establece la participación femenina en las unidades de negociación colectiva de las condiciones laborales</w:t>
      </w:r>
    </w:p>
    <w:p w14:paraId="43457BC3" w14:textId="356C8934" w:rsidR="0069420F" w:rsidRPr="009451FB" w:rsidRDefault="0069420F" w:rsidP="009451FB">
      <w:pPr>
        <w:numPr>
          <w:ilvl w:val="0"/>
          <w:numId w:val="6"/>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de Paridad de Género 27.412. </w:t>
      </w:r>
      <w:r w:rsidRPr="009451FB">
        <w:rPr>
          <w:rFonts w:ascii="Cambria Math" w:eastAsiaTheme="minorEastAsia" w:hAnsi="Cambria Math" w:cs="Cambria Math"/>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Aprobada 2017: En 2019 el 50% de las listas de candidatos a nivel de legisladores nacionales y de partidos políticos, deberán ser mujeres</w:t>
      </w:r>
      <w:r w:rsidR="009F4213"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50302148" w14:textId="77777777" w:rsidR="009F4213" w:rsidRPr="009451FB" w:rsidRDefault="009F4213" w:rsidP="009451FB">
      <w:pPr>
        <w:spacing w:after="0" w:line="240" w:lineRule="auto"/>
        <w:contextualSpacing/>
        <w:jc w:val="both"/>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FD859B3" w14:textId="6C92A0CF" w:rsidR="009F4213" w:rsidRPr="009451FB" w:rsidRDefault="009F4213" w:rsidP="009451FB">
      <w:pPr>
        <w:spacing w:after="0" w:line="240" w:lineRule="auto"/>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Leyes Nacionales sobre Autonomía Física:</w:t>
      </w:r>
    </w:p>
    <w:p w14:paraId="2822BA9A" w14:textId="39C09310"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w:t>
      </w:r>
      <w:r w:rsidR="009F4213"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w:t>
      </w: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creación del Programa de Salud Sexual y Procreación Responsable. Ley 25673.  </w:t>
      </w:r>
      <w:r w:rsidR="006D150C"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Año </w:t>
      </w: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2002</w:t>
      </w:r>
    </w:p>
    <w:p w14:paraId="575D6077" w14:textId="05B3AC34"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25929 de Parto Humanizado.  </w:t>
      </w:r>
      <w:r w:rsidR="006D150C"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Año </w:t>
      </w: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2004</w:t>
      </w:r>
    </w:p>
    <w:p w14:paraId="344A89C0" w14:textId="77777777"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26130 de Ligadura </w:t>
      </w:r>
      <w:proofErr w:type="spellStart"/>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Tubaria</w:t>
      </w:r>
      <w:proofErr w:type="spellEnd"/>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 Vasectomía.  2006</w:t>
      </w:r>
    </w:p>
    <w:p w14:paraId="2A936065" w14:textId="77777777"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26150 - Programa Nacional de Educación Sexual Integral.  2006</w:t>
      </w:r>
    </w:p>
    <w:p w14:paraId="72E5CDC4" w14:textId="2BD6A59B"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26364 de Sanción y Prevención de la Trata de Personas y Asistencia a las Víctimas. 2008</w:t>
      </w:r>
    </w:p>
    <w:p w14:paraId="23DCFA8D" w14:textId="55DEB424" w:rsidR="00F44B23" w:rsidRPr="009451FB" w:rsidRDefault="0069420F" w:rsidP="009451FB">
      <w:pPr>
        <w:pStyle w:val="Prrafodelista"/>
        <w:numPr>
          <w:ilvl w:val="0"/>
          <w:numId w:val="3"/>
        </w:numPr>
        <w:spacing w:line="240" w:lineRule="auto"/>
        <w:jc w:val="both"/>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26485 Decreto 1011 de Protección Integral Para Prevenir, Sancionar y Erradicar la Violencia Contra las Mujeres en los ámbitos donde desarrolla sus relaciones Interpersonales. 2010</w:t>
      </w:r>
      <w:r w:rsidR="00F44B23" w:rsidRPr="009451FB">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establece que el Estado adoptará las medidas necesarias y ratificará en cada una de sus actuaciones el respeto irrestricto del derecho constitucional a la igualdad entre mujeres y varones (cfr. artículo 7)</w:t>
      </w:r>
      <w:r w:rsidR="00871D8B" w:rsidRPr="009451FB">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15679F46" w14:textId="77777777"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27210. Cuerpo de Abogadas y Abogados para Víctimas de Violencia de Género. Creación. Funciones. 2015</w:t>
      </w:r>
    </w:p>
    <w:p w14:paraId="4355F242" w14:textId="77777777" w:rsidR="0069420F" w:rsidRPr="009451FB" w:rsidRDefault="0069420F" w:rsidP="009451FB">
      <w:pPr>
        <w:numPr>
          <w:ilvl w:val="0"/>
          <w:numId w:val="7"/>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Ley 27499 Micaela de Capacitación obligatoria en género para todas las personas que integran los tres poderes del Estado 2018</w:t>
      </w:r>
    </w:p>
    <w:p w14:paraId="4FA4E545" w14:textId="77777777" w:rsidR="0069420F" w:rsidRPr="009451FB" w:rsidRDefault="0069420F" w:rsidP="009451FB">
      <w:pPr>
        <w:numPr>
          <w:ilvl w:val="0"/>
          <w:numId w:val="8"/>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27363 – Privación de la Responsabilidad Parental para el femicida condenado.   </w:t>
      </w:r>
    </w:p>
    <w:p w14:paraId="03FC674E" w14:textId="77777777" w:rsidR="0069420F" w:rsidRPr="009451FB" w:rsidRDefault="0069420F" w:rsidP="009451FB">
      <w:pPr>
        <w:numPr>
          <w:ilvl w:val="0"/>
          <w:numId w:val="8"/>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27.452  </w:t>
      </w:r>
      <w:r w:rsidRPr="009451FB">
        <w:rPr>
          <w:rFonts w:ascii="Cambria Math" w:eastAsiaTheme="minorEastAsia" w:hAnsi="Cambria Math" w:cs="Cambria Math"/>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Régimen de Reparación Económica para hijas e hijos de víctimas de femicidios, conocida como la “Ley Brisa”.   </w:t>
      </w:r>
    </w:p>
    <w:p w14:paraId="0513C9A5" w14:textId="77777777" w:rsidR="0069420F" w:rsidRPr="009451FB" w:rsidRDefault="0069420F" w:rsidP="009451FB">
      <w:pPr>
        <w:numPr>
          <w:ilvl w:val="0"/>
          <w:numId w:val="8"/>
        </w:numPr>
        <w:spacing w:after="0" w:line="240" w:lineRule="auto"/>
        <w:ind w:left="1699"/>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27.352 que modifica el Art 119 del Código Penal sobre abuso sexual. </w:t>
      </w:r>
    </w:p>
    <w:p w14:paraId="6E2853A1" w14:textId="23D78046" w:rsidR="009F4213" w:rsidRPr="009451FB" w:rsidRDefault="0069420F" w:rsidP="009451FB">
      <w:pPr>
        <w:pStyle w:val="Prrafodelista"/>
        <w:numPr>
          <w:ilvl w:val="0"/>
          <w:numId w:val="8"/>
        </w:numPr>
        <w:tabs>
          <w:tab w:val="clear" w:pos="720"/>
          <w:tab w:val="num" w:pos="1699"/>
        </w:tabs>
        <w:spacing w:before="840" w:after="0" w:line="240" w:lineRule="auto"/>
        <w:ind w:left="1699"/>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N° 26.879 de Creación del REGISTRO NACIONAL DE DATOS GENÉTICOS VINCULADOS A DELITOS CONTRA LA INTEGRIDAD SEXUAL y su Decreto Reglamentario Nro. 522/2017.</w:t>
      </w:r>
    </w:p>
    <w:p w14:paraId="1646F3BC" w14:textId="7ED86760" w:rsidR="0069420F" w:rsidRPr="009451FB" w:rsidRDefault="009F4213" w:rsidP="009451FB">
      <w:pPr>
        <w:spacing w:before="840" w:after="0" w:line="240" w:lineRule="auto"/>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Leyes sobre</w:t>
      </w:r>
      <w:r w:rsidR="0069420F"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identidad de género y orientación sexual.</w:t>
      </w:r>
    </w:p>
    <w:p w14:paraId="3B0127AC" w14:textId="77777777" w:rsidR="0069420F" w:rsidRPr="009451FB" w:rsidRDefault="0069420F" w:rsidP="009451FB">
      <w:pPr>
        <w:numPr>
          <w:ilvl w:val="0"/>
          <w:numId w:val="19"/>
        </w:numPr>
        <w:spacing w:after="0" w:line="240" w:lineRule="auto"/>
        <w:ind w:left="1776"/>
        <w:contextualSpacing/>
        <w:jc w:val="both"/>
        <w:rPr>
          <w:rFonts w:ascii="Arial" w:eastAsia="Times New Roman"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Ley </w:t>
      </w: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26.618 - Decreto 1054 </w:t>
      </w:r>
      <w:r w:rsidRPr="009451FB">
        <w:rPr>
          <w:rFonts w:ascii="Arial" w:eastAsiaTheme="minorEastAsia" w:hAnsi="Arial" w:cs="Arial"/>
          <w:color w:val="000000" w:themeColor="text1"/>
          <w:sz w:val="24"/>
          <w:szCs w:val="24"/>
          <w:lang w:val="es-MX"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 Matrimonio Igualitario</w:t>
      </w: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2010. </w:t>
      </w:r>
    </w:p>
    <w:p w14:paraId="292FCA51" w14:textId="7B60DC64" w:rsidR="00F44B23" w:rsidRPr="009451FB" w:rsidRDefault="0069420F" w:rsidP="009451FB">
      <w:pPr>
        <w:pStyle w:val="Prrafodelista"/>
        <w:numPr>
          <w:ilvl w:val="0"/>
          <w:numId w:val="19"/>
        </w:numPr>
        <w:spacing w:line="240" w:lineRule="auto"/>
        <w:ind w:left="1776"/>
        <w:jc w:val="both"/>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51FB">
        <w:rPr>
          <w:rFonts w:ascii="Arial" w:eastAsiaTheme="minorEastAsia" w:hAnsi="Arial" w:cs="Arial"/>
          <w:color w:val="000000" w:themeColor="text1"/>
          <w:sz w:val="24"/>
          <w:szCs w:val="24"/>
          <w:lang w:eastAsia="es-A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Ley 26473 de Identidad de Género. 2011</w:t>
      </w:r>
      <w:r w:rsidR="00F44B23" w:rsidRPr="009451FB">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 sus Decretos Reglamentarios N° 1007/2012 y 903/2015, reconoce el derecho de toda persona a desarrollarse libremente conforme a su identidad de género.</w:t>
      </w:r>
    </w:p>
    <w:p w14:paraId="70FC1089" w14:textId="77777777" w:rsidR="0069420F" w:rsidRPr="009451FB" w:rsidRDefault="0069420F" w:rsidP="009451FB">
      <w:pPr>
        <w:pStyle w:val="Prrafodelista"/>
        <w:spacing w:line="240" w:lineRule="auto"/>
        <w:ind w:left="1056"/>
        <w:jc w:val="both"/>
        <w:rPr>
          <w:rFonts w:ascii="Arial" w:hAnsi="Arial" w:cs="Arial"/>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C631BED" w14:textId="77777777" w:rsidR="00BB7975" w:rsidRPr="009451FB" w:rsidRDefault="00BB7975" w:rsidP="009451FB">
      <w:pPr>
        <w:spacing w:line="240" w:lineRule="auto"/>
        <w:jc w:val="both"/>
        <w:rPr>
          <w:rFonts w:ascii="Arial" w:hAnsi="Arial" w:cs="Arial"/>
          <w:b/>
          <w:bCs/>
          <w:sz w:val="24"/>
          <w:szCs w:val="24"/>
        </w:rPr>
      </w:pPr>
      <w:r w:rsidRPr="009451FB">
        <w:rPr>
          <w:rFonts w:ascii="Arial" w:hAnsi="Arial" w:cs="Arial"/>
          <w:b/>
          <w:bCs/>
          <w:sz w:val="24"/>
          <w:szCs w:val="24"/>
        </w:rPr>
        <w:t>Creación del MINISTERIO DE LAS MUJERES, GÉNEROS Y DIVERSIDAD</w:t>
      </w:r>
    </w:p>
    <w:p w14:paraId="24044D72" w14:textId="5FFCDC95" w:rsidR="00F63D9E" w:rsidRPr="009451FB" w:rsidRDefault="00BB7975" w:rsidP="009451FB">
      <w:pPr>
        <w:spacing w:line="240" w:lineRule="auto"/>
        <w:jc w:val="both"/>
        <w:rPr>
          <w:rFonts w:ascii="Arial" w:hAnsi="Arial" w:cs="Arial"/>
          <w:sz w:val="24"/>
          <w:szCs w:val="24"/>
        </w:rPr>
      </w:pPr>
      <w:r w:rsidRPr="009451FB">
        <w:rPr>
          <w:rFonts w:ascii="Arial" w:hAnsi="Arial" w:cs="Arial"/>
          <w:sz w:val="24"/>
          <w:szCs w:val="24"/>
        </w:rPr>
        <w:t>Responde al compromiso asumido a fin de garantizar los derechos de las mujeres y diversidades, frente a toda forma de discriminación y violencia, y en pos de la construcción de una sociedad más igualitaria que promueva la autonomía integral de todas las personas.</w:t>
      </w:r>
      <w:r w:rsidR="00965B5B" w:rsidRPr="009451FB">
        <w:rPr>
          <w:rFonts w:ascii="Arial" w:hAnsi="Arial" w:cs="Arial"/>
          <w:sz w:val="24"/>
          <w:szCs w:val="24"/>
        </w:rPr>
        <w:t xml:space="preserve"> </w:t>
      </w:r>
      <w:r w:rsidR="00F63D9E" w:rsidRPr="009451FB">
        <w:rPr>
          <w:rFonts w:ascii="Arial" w:hAnsi="Arial" w:cs="Arial"/>
          <w:sz w:val="24"/>
          <w:szCs w:val="24"/>
        </w:rPr>
        <w:t>E</w:t>
      </w:r>
      <w:r w:rsidRPr="009451FB">
        <w:rPr>
          <w:rFonts w:ascii="Arial" w:hAnsi="Arial" w:cs="Arial"/>
          <w:sz w:val="24"/>
          <w:szCs w:val="24"/>
        </w:rPr>
        <w:t>ntre las competencias del MINISTERIO DE LAS MUJERES, GÉNEROS Y DIVERSIDAD</w:t>
      </w:r>
      <w:r w:rsidR="00F63D9E" w:rsidRPr="009451FB">
        <w:rPr>
          <w:rFonts w:ascii="Arial" w:hAnsi="Arial" w:cs="Arial"/>
          <w:sz w:val="24"/>
          <w:szCs w:val="24"/>
        </w:rPr>
        <w:t xml:space="preserve"> -</w:t>
      </w:r>
      <w:r w:rsidRPr="009451FB">
        <w:rPr>
          <w:rFonts w:ascii="Arial" w:hAnsi="Arial" w:cs="Arial"/>
          <w:sz w:val="24"/>
          <w:szCs w:val="24"/>
        </w:rPr>
        <w:t>Decreto N° 7 de fecha 10 de diciembre de 2019, se encuentra la de entender en el desarrollo de las acciones tendientes al cumplimiento de la normativa vigente y a la identificación de necesidades de adecuación y actualización normativa en materia de políticas de género, igualdad y diversidad, coordinar con otros ministerios el diseño de herramientas financieras, presupuestarias y de desarrollo económico con perspectiva de género</w:t>
      </w:r>
      <w:r w:rsidR="00F63D9E" w:rsidRPr="009451FB">
        <w:rPr>
          <w:rFonts w:ascii="Arial" w:hAnsi="Arial" w:cs="Arial"/>
          <w:sz w:val="24"/>
          <w:szCs w:val="24"/>
        </w:rPr>
        <w:t xml:space="preserve">. Con el fin de lograr estos objetivos se implementa un programa de alcance nacional cuya finalidad primordial es la reducción de la desigualdad de géneros en el mundo del trabajo. </w:t>
      </w:r>
    </w:p>
    <w:p w14:paraId="4A3FFE9A" w14:textId="51E2EC9F" w:rsidR="00F63D9E" w:rsidRPr="009451FB" w:rsidRDefault="00F63D9E" w:rsidP="009451FB">
      <w:pPr>
        <w:spacing w:line="240" w:lineRule="auto"/>
        <w:jc w:val="both"/>
        <w:rPr>
          <w:rFonts w:ascii="Arial" w:hAnsi="Arial" w:cs="Arial"/>
          <w:sz w:val="24"/>
          <w:szCs w:val="24"/>
        </w:rPr>
      </w:pPr>
      <w:r w:rsidRPr="009451FB">
        <w:rPr>
          <w:rFonts w:ascii="Arial" w:hAnsi="Arial" w:cs="Arial"/>
          <w:sz w:val="24"/>
          <w:szCs w:val="24"/>
        </w:rPr>
        <w:t xml:space="preserve">PROGRAMA NACIONAL PARA LA IGUALDAD DE GÉNEROS EN EL TRABAJO, EL EMPLEO Y LA PRODUCCIÓN “IGUALAR” en el ámbito de la SUBSECRETARÍA DE POLÍTICAS DE IGUALDAD. El objetivo general es reducir las brechas y segmentaciones que componen la desigualdad estructural en el mundo del trabajo, el empleo y la producción para mujeres y personas </w:t>
      </w:r>
      <w:r w:rsidRPr="009451FB">
        <w:rPr>
          <w:rFonts w:ascii="Arial" w:hAnsi="Arial" w:cs="Arial"/>
          <w:sz w:val="24"/>
          <w:szCs w:val="24"/>
        </w:rPr>
        <w:lastRenderedPageBreak/>
        <w:t>LGBTI+, desde una mirada inter</w:t>
      </w:r>
      <w:r w:rsidR="007A76D2">
        <w:rPr>
          <w:rFonts w:ascii="Arial" w:hAnsi="Arial" w:cs="Arial"/>
          <w:sz w:val="24"/>
          <w:szCs w:val="24"/>
        </w:rPr>
        <w:t xml:space="preserve"> </w:t>
      </w:r>
      <w:r w:rsidRPr="009451FB">
        <w:rPr>
          <w:rFonts w:ascii="Arial" w:hAnsi="Arial" w:cs="Arial"/>
          <w:sz w:val="24"/>
          <w:szCs w:val="24"/>
        </w:rPr>
        <w:t>seccional y de derechos humanos.  Resolución 220/2020 del Ministerio de Mujeres, Géneros y Diversidad.</w:t>
      </w:r>
    </w:p>
    <w:p w14:paraId="7C35B62D" w14:textId="77777777" w:rsidR="0019687D" w:rsidRPr="009451FB" w:rsidRDefault="0019687D" w:rsidP="009451FB">
      <w:pPr>
        <w:spacing w:line="240" w:lineRule="auto"/>
        <w:jc w:val="both"/>
        <w:rPr>
          <w:rFonts w:ascii="Arial" w:hAnsi="Arial" w:cs="Arial"/>
          <w:sz w:val="24"/>
          <w:szCs w:val="24"/>
        </w:rPr>
      </w:pPr>
    </w:p>
    <w:p w14:paraId="0F123CBC" w14:textId="5F34480B" w:rsidR="00AB0B92" w:rsidRPr="009451FB" w:rsidRDefault="00AB0B92" w:rsidP="009451FB">
      <w:pPr>
        <w:spacing w:line="240" w:lineRule="auto"/>
        <w:jc w:val="both"/>
        <w:rPr>
          <w:rFonts w:ascii="Arial" w:hAnsi="Arial" w:cs="Arial"/>
          <w:b/>
          <w:bCs/>
          <w:sz w:val="24"/>
          <w:szCs w:val="24"/>
        </w:rPr>
      </w:pPr>
      <w:r w:rsidRPr="009451FB">
        <w:rPr>
          <w:rFonts w:ascii="Arial" w:hAnsi="Arial" w:cs="Arial"/>
          <w:b/>
          <w:bCs/>
          <w:sz w:val="24"/>
          <w:szCs w:val="24"/>
        </w:rPr>
        <w:t xml:space="preserve">NORMATIVA EN EL AREA DEL MINISTERIO DE TRABAJO PARA LOGRAR LA EQUIDAD DE </w:t>
      </w:r>
      <w:proofErr w:type="gramStart"/>
      <w:r w:rsidRPr="009451FB">
        <w:rPr>
          <w:rFonts w:ascii="Arial" w:hAnsi="Arial" w:cs="Arial"/>
          <w:b/>
          <w:bCs/>
          <w:sz w:val="24"/>
          <w:szCs w:val="24"/>
        </w:rPr>
        <w:t>GENERO</w:t>
      </w:r>
      <w:proofErr w:type="gramEnd"/>
    </w:p>
    <w:p w14:paraId="2AF5C993" w14:textId="77777777" w:rsidR="0019687D" w:rsidRPr="009451FB" w:rsidRDefault="0019687D" w:rsidP="009451FB">
      <w:pPr>
        <w:widowControl w:val="0"/>
        <w:spacing w:line="240" w:lineRule="auto"/>
        <w:jc w:val="both"/>
        <w:rPr>
          <w:rFonts w:ascii="Arial" w:hAnsi="Arial" w:cs="Arial"/>
          <w:sz w:val="24"/>
          <w:szCs w:val="24"/>
        </w:rPr>
      </w:pPr>
    </w:p>
    <w:p w14:paraId="5C26B9F1" w14:textId="15CB7E72" w:rsidR="0019687D" w:rsidRPr="009451FB" w:rsidRDefault="0019687D" w:rsidP="009451FB">
      <w:pPr>
        <w:widowControl w:val="0"/>
        <w:spacing w:line="240" w:lineRule="auto"/>
        <w:ind w:left="708"/>
        <w:jc w:val="both"/>
        <w:rPr>
          <w:rFonts w:ascii="Arial" w:hAnsi="Arial" w:cs="Arial"/>
          <w:sz w:val="24"/>
          <w:szCs w:val="24"/>
        </w:rPr>
      </w:pPr>
      <w:r w:rsidRPr="009451FB">
        <w:rPr>
          <w:rFonts w:ascii="Arial" w:hAnsi="Arial" w:cs="Arial"/>
          <w:sz w:val="24"/>
          <w:szCs w:val="24"/>
        </w:rPr>
        <w:t>Resolución 656/</w:t>
      </w:r>
      <w:proofErr w:type="gramStart"/>
      <w:r w:rsidRPr="009451FB">
        <w:rPr>
          <w:rFonts w:ascii="Arial" w:hAnsi="Arial" w:cs="Arial"/>
          <w:sz w:val="24"/>
          <w:szCs w:val="24"/>
        </w:rPr>
        <w:t>2002 :</w:t>
      </w:r>
      <w:proofErr w:type="gramEnd"/>
      <w:r w:rsidRPr="009451FB">
        <w:rPr>
          <w:rFonts w:ascii="Arial" w:hAnsi="Arial" w:cs="Arial"/>
          <w:sz w:val="24"/>
          <w:szCs w:val="24"/>
        </w:rPr>
        <w:t xml:space="preserve"> Se implementa en el ámbito del MINISTERIO DE TRABAJO, EMPLEO Y SEGURIDAD SOCIAL, las recomendaciones efectuadas por la COMISION TRIPARTITA DE IGUALDAD DE TRATO Y OPORTUNIDADES ENTRE VARONES Y MUJERES, en cuanto a las políticas y estrategias que permitan consolidar, en el mercado de trabajo, la igualdad de trato y de oportunidades entre hombres y mujeres en la incorporación al empleo, la orientación y formación profesional y técnica, de acuerdo a la presente Resolución. </w:t>
      </w:r>
    </w:p>
    <w:p w14:paraId="6D9D81AD" w14:textId="31088494" w:rsidR="0019687D" w:rsidRPr="009451FB" w:rsidRDefault="0019687D" w:rsidP="009451FB">
      <w:pPr>
        <w:spacing w:line="240" w:lineRule="auto"/>
        <w:ind w:left="708"/>
        <w:jc w:val="both"/>
        <w:rPr>
          <w:rFonts w:ascii="Arial" w:hAnsi="Arial" w:cs="Arial"/>
          <w:sz w:val="24"/>
          <w:szCs w:val="24"/>
        </w:rPr>
      </w:pPr>
      <w:r w:rsidRPr="009451FB">
        <w:rPr>
          <w:rFonts w:ascii="Arial" w:hAnsi="Arial" w:cs="Arial"/>
          <w:sz w:val="24"/>
          <w:szCs w:val="24"/>
        </w:rPr>
        <w:t>Resolución 1095/2007 : Se crea la UNIDAD MINISTRO del MINISTERIO DE TRABAJO, EMPLEO Y SEGURIDAD SOCIAL, las Coordinaciones de RESPONSABILIDAD SOCIAL EMPRESARIA Y TRABAJO DECENTE, de PUBLICACIONES, de EQUIDAD DE GENERO E IGUALDAD DE OPORTUNIDADES EN EL TRABAJO y de ASISTENCIA LABORAL DIRECTA</w:t>
      </w:r>
    </w:p>
    <w:p w14:paraId="543A4FD6" w14:textId="1C238D70" w:rsidR="0019687D" w:rsidRPr="009451FB" w:rsidRDefault="0019687D" w:rsidP="009451FB">
      <w:pPr>
        <w:spacing w:line="240" w:lineRule="auto"/>
        <w:ind w:left="708"/>
        <w:jc w:val="both"/>
        <w:rPr>
          <w:rFonts w:ascii="Arial" w:hAnsi="Arial" w:cs="Arial"/>
          <w:sz w:val="24"/>
          <w:szCs w:val="24"/>
        </w:rPr>
      </w:pPr>
      <w:r w:rsidRPr="009451FB">
        <w:rPr>
          <w:rFonts w:ascii="Arial" w:hAnsi="Arial" w:cs="Arial"/>
          <w:sz w:val="24"/>
          <w:szCs w:val="24"/>
        </w:rPr>
        <w:t>Resolución 1553/2010 PROGRAMA DE EQUIDAD E IGUALDAD DE OPORTUNIDADES EN LA FORMACION LABORAL "NUEVOS OFICIOS PARA MUJERES" destinado a la formaci</w:t>
      </w:r>
      <w:r w:rsidR="00A36A0D" w:rsidRPr="009451FB">
        <w:rPr>
          <w:rFonts w:ascii="Arial" w:hAnsi="Arial" w:cs="Arial"/>
          <w:sz w:val="24"/>
          <w:szCs w:val="24"/>
        </w:rPr>
        <w:t>ón</w:t>
      </w:r>
      <w:r w:rsidRPr="009451FB">
        <w:rPr>
          <w:rFonts w:ascii="Arial" w:hAnsi="Arial" w:cs="Arial"/>
          <w:sz w:val="24"/>
          <w:szCs w:val="24"/>
        </w:rPr>
        <w:t xml:space="preserve"> de mujeres, preferentemente participantes del SEGURO DE CAPACITACION Y EMPLEO o del PROGRAMA JOVENES CON MAS Y MEJOR TRABAJO, en actividades no tradicionales para el g</w:t>
      </w:r>
      <w:r w:rsidR="007A76D2">
        <w:rPr>
          <w:rFonts w:ascii="Arial" w:hAnsi="Arial" w:cs="Arial"/>
          <w:sz w:val="24"/>
          <w:szCs w:val="24"/>
        </w:rPr>
        <w:t>é</w:t>
      </w:r>
      <w:r w:rsidRPr="009451FB">
        <w:rPr>
          <w:rFonts w:ascii="Arial" w:hAnsi="Arial" w:cs="Arial"/>
          <w:sz w:val="24"/>
          <w:szCs w:val="24"/>
        </w:rPr>
        <w:t>nero a fin de contribuir a mejorar sus condiciones de empleabilidad y promover su inserci</w:t>
      </w:r>
      <w:r w:rsidR="007A76D2">
        <w:rPr>
          <w:rFonts w:ascii="Arial" w:hAnsi="Arial" w:cs="Arial"/>
          <w:sz w:val="24"/>
          <w:szCs w:val="24"/>
        </w:rPr>
        <w:t>ón</w:t>
      </w:r>
      <w:r w:rsidRPr="009451FB">
        <w:rPr>
          <w:rFonts w:ascii="Arial" w:hAnsi="Arial" w:cs="Arial"/>
          <w:sz w:val="24"/>
          <w:szCs w:val="24"/>
        </w:rPr>
        <w:t xml:space="preserve"> laboral.</w:t>
      </w:r>
    </w:p>
    <w:p w14:paraId="4423EF4B" w14:textId="77777777" w:rsidR="0019687D" w:rsidRPr="009451FB" w:rsidRDefault="0019687D" w:rsidP="009451FB">
      <w:pPr>
        <w:spacing w:line="240" w:lineRule="auto"/>
        <w:ind w:left="708"/>
        <w:jc w:val="both"/>
        <w:rPr>
          <w:rFonts w:ascii="Arial" w:hAnsi="Arial" w:cs="Arial"/>
          <w:sz w:val="24"/>
          <w:szCs w:val="24"/>
        </w:rPr>
      </w:pPr>
    </w:p>
    <w:p w14:paraId="00AD6061" w14:textId="503797B1" w:rsidR="0019687D" w:rsidRPr="009451FB" w:rsidRDefault="003507A2" w:rsidP="009451FB">
      <w:pPr>
        <w:shd w:val="clear" w:color="auto" w:fill="FFFFFF"/>
        <w:spacing w:before="480" w:after="168" w:line="240" w:lineRule="auto"/>
        <w:jc w:val="both"/>
        <w:outlineLvl w:val="4"/>
        <w:rPr>
          <w:rFonts w:ascii="Arial" w:eastAsia="Times New Roman" w:hAnsi="Arial" w:cs="Arial"/>
          <w:color w:val="333333"/>
          <w:sz w:val="24"/>
          <w:szCs w:val="24"/>
          <w:lang w:eastAsia="es-AR"/>
        </w:rPr>
      </w:pPr>
      <w:r w:rsidRPr="009451FB">
        <w:rPr>
          <w:rFonts w:ascii="Arial" w:eastAsia="Times New Roman" w:hAnsi="Arial" w:cs="Arial"/>
          <w:color w:val="333333"/>
          <w:sz w:val="24"/>
          <w:szCs w:val="24"/>
          <w:lang w:eastAsia="es-AR"/>
        </w:rPr>
        <w:t>C</w:t>
      </w:r>
      <w:r w:rsidR="0019687D" w:rsidRPr="009451FB">
        <w:rPr>
          <w:rFonts w:ascii="Arial" w:eastAsia="Times New Roman" w:hAnsi="Arial" w:cs="Arial"/>
          <w:color w:val="333333"/>
          <w:sz w:val="24"/>
          <w:szCs w:val="24"/>
          <w:lang w:eastAsia="es-AR"/>
        </w:rPr>
        <w:t>onvenios</w:t>
      </w:r>
      <w:r w:rsidRPr="009451FB">
        <w:rPr>
          <w:rFonts w:ascii="Arial" w:eastAsia="Times New Roman" w:hAnsi="Arial" w:cs="Arial"/>
          <w:color w:val="333333"/>
          <w:sz w:val="24"/>
          <w:szCs w:val="24"/>
          <w:lang w:eastAsia="es-AR"/>
        </w:rPr>
        <w:t xml:space="preserve"> OIT Organización Internacional del Trabajo:</w:t>
      </w:r>
    </w:p>
    <w:p w14:paraId="16570DA8" w14:textId="77777777" w:rsidR="0019687D"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1" w:history="1">
        <w:r w:rsidR="0019687D" w:rsidRPr="009451FB">
          <w:rPr>
            <w:rFonts w:ascii="Arial" w:eastAsia="Times New Roman" w:hAnsi="Arial" w:cs="Arial"/>
            <w:color w:val="0072BB"/>
            <w:sz w:val="24"/>
            <w:szCs w:val="24"/>
            <w:u w:val="single"/>
            <w:lang w:eastAsia="es-AR"/>
          </w:rPr>
          <w:t>Convenio Nº 100 sobre igualdad de remuneración, 1951</w:t>
        </w:r>
      </w:hyperlink>
    </w:p>
    <w:p w14:paraId="24B3A426" w14:textId="77777777" w:rsidR="0019687D"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2" w:history="1">
        <w:r w:rsidR="0019687D" w:rsidRPr="009451FB">
          <w:rPr>
            <w:rFonts w:ascii="Arial" w:eastAsia="Times New Roman" w:hAnsi="Arial" w:cs="Arial"/>
            <w:color w:val="0072BB"/>
            <w:sz w:val="24"/>
            <w:szCs w:val="24"/>
            <w:u w:val="single"/>
            <w:lang w:eastAsia="es-AR"/>
          </w:rPr>
          <w:t>Convenio Nº 156 sobre los trabajadores con responsabilidades familiares, 1981</w:t>
        </w:r>
      </w:hyperlink>
    </w:p>
    <w:p w14:paraId="76B9CDEB" w14:textId="77777777" w:rsidR="003507A2" w:rsidRPr="009451FB" w:rsidRDefault="003507A2" w:rsidP="009451FB">
      <w:pPr>
        <w:shd w:val="clear" w:color="auto" w:fill="FFFFFF"/>
        <w:spacing w:before="480" w:after="168" w:line="240" w:lineRule="auto"/>
        <w:jc w:val="both"/>
        <w:outlineLvl w:val="4"/>
        <w:rPr>
          <w:rFonts w:ascii="Arial" w:eastAsia="Times New Roman" w:hAnsi="Arial" w:cs="Arial"/>
          <w:color w:val="333333"/>
          <w:sz w:val="24"/>
          <w:szCs w:val="24"/>
          <w:lang w:eastAsia="es-AR"/>
        </w:rPr>
      </w:pPr>
      <w:r w:rsidRPr="009451FB">
        <w:rPr>
          <w:rFonts w:ascii="Arial" w:eastAsia="Times New Roman" w:hAnsi="Arial" w:cs="Arial"/>
          <w:color w:val="333333"/>
          <w:sz w:val="24"/>
          <w:szCs w:val="24"/>
          <w:lang w:eastAsia="es-AR"/>
        </w:rPr>
        <w:t>Convenciones Internacionales</w:t>
      </w:r>
    </w:p>
    <w:p w14:paraId="511D96CC" w14:textId="77777777" w:rsidR="003507A2"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3" w:history="1">
        <w:r w:rsidR="003507A2" w:rsidRPr="009451FB">
          <w:rPr>
            <w:rFonts w:ascii="Arial" w:eastAsia="Times New Roman" w:hAnsi="Arial" w:cs="Arial"/>
            <w:color w:val="0072BB"/>
            <w:sz w:val="24"/>
            <w:szCs w:val="24"/>
            <w:u w:val="single"/>
            <w:lang w:eastAsia="es-AR"/>
          </w:rPr>
          <w:t>Convención de Belém do Pará</w:t>
        </w:r>
      </w:hyperlink>
    </w:p>
    <w:p w14:paraId="772EF5A2" w14:textId="77777777" w:rsidR="003507A2"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4" w:history="1">
        <w:r w:rsidR="003507A2" w:rsidRPr="009451FB">
          <w:rPr>
            <w:rFonts w:ascii="Arial" w:eastAsia="Times New Roman" w:hAnsi="Arial" w:cs="Arial"/>
            <w:color w:val="0072BB"/>
            <w:sz w:val="24"/>
            <w:szCs w:val="24"/>
            <w:u w:val="single"/>
            <w:lang w:eastAsia="es-AR"/>
          </w:rPr>
          <w:t>Convención Interamericana para Prevenir, Sancionar y Erradicar la Violencia contra la Mujer</w:t>
        </w:r>
      </w:hyperlink>
    </w:p>
    <w:p w14:paraId="5F924CC6" w14:textId="77777777" w:rsidR="003507A2"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5" w:history="1">
        <w:r w:rsidR="003507A2" w:rsidRPr="009451FB">
          <w:rPr>
            <w:rFonts w:ascii="Arial" w:eastAsia="Times New Roman" w:hAnsi="Arial" w:cs="Arial"/>
            <w:color w:val="0072BB"/>
            <w:sz w:val="24"/>
            <w:szCs w:val="24"/>
            <w:u w:val="single"/>
            <w:lang w:eastAsia="es-AR"/>
          </w:rPr>
          <w:t>Convención de Belém Do Pará. Seguimiento de la XII Conferencia Interamericana de Ministros del Trabajo (CIMT)</w:t>
        </w:r>
      </w:hyperlink>
    </w:p>
    <w:p w14:paraId="0A982AC4" w14:textId="77777777" w:rsidR="003507A2" w:rsidRPr="009451FB" w:rsidRDefault="00E9070F" w:rsidP="009451FB">
      <w:pPr>
        <w:shd w:val="clear" w:color="auto" w:fill="FFFFFF"/>
        <w:spacing w:after="360" w:line="240" w:lineRule="auto"/>
        <w:jc w:val="both"/>
        <w:rPr>
          <w:rFonts w:ascii="Arial" w:eastAsia="Times New Roman" w:hAnsi="Arial" w:cs="Arial"/>
          <w:color w:val="333333"/>
          <w:sz w:val="24"/>
          <w:szCs w:val="24"/>
          <w:lang w:eastAsia="es-AR"/>
        </w:rPr>
      </w:pPr>
      <w:hyperlink r:id="rId26" w:history="1">
        <w:r w:rsidR="003507A2" w:rsidRPr="009451FB">
          <w:rPr>
            <w:rFonts w:ascii="Arial" w:eastAsia="Times New Roman" w:hAnsi="Arial" w:cs="Arial"/>
            <w:color w:val="0072BB"/>
            <w:sz w:val="24"/>
            <w:szCs w:val="24"/>
            <w:u w:val="single"/>
            <w:lang w:eastAsia="es-AR"/>
          </w:rPr>
          <w:t>Consenso de Quito</w:t>
        </w:r>
      </w:hyperlink>
    </w:p>
    <w:p w14:paraId="49ABAAD1" w14:textId="17F8D251" w:rsidR="00A37656" w:rsidRPr="009451FB" w:rsidRDefault="00A37656" w:rsidP="009451FB">
      <w:pPr>
        <w:spacing w:before="450" w:after="450" w:line="240" w:lineRule="auto"/>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Cupo Laboral Travesti para el Sector Público Nacional</w:t>
      </w:r>
    </w:p>
    <w:p w14:paraId="3FA938E1" w14:textId="1BDE5437" w:rsidR="00A37656" w:rsidRPr="009451FB" w:rsidRDefault="00A37656" w:rsidP="009451FB">
      <w:pPr>
        <w:spacing w:before="450" w:after="450" w:line="240" w:lineRule="auto"/>
        <w:ind w:left="708"/>
        <w:jc w:val="both"/>
        <w:rPr>
          <w:rFonts w:ascii="Arial" w:eastAsia="Times New Roman" w:hAnsi="Arial" w:cs="Arial"/>
          <w:sz w:val="24"/>
          <w:szCs w:val="24"/>
          <w:lang w:eastAsia="es-AR"/>
        </w:rPr>
      </w:pPr>
      <w:r w:rsidRPr="009451FB">
        <w:rPr>
          <w:rFonts w:ascii="Arial" w:eastAsia="Times New Roman" w:hAnsi="Arial" w:cs="Arial"/>
          <w:sz w:val="24"/>
          <w:szCs w:val="24"/>
          <w:lang w:eastAsia="es-AR"/>
        </w:rPr>
        <w:t xml:space="preserve">Decreto 721/2020: </w:t>
      </w:r>
      <w:r w:rsidRPr="009451FB">
        <w:rPr>
          <w:rFonts w:ascii="Arial" w:hAnsi="Arial" w:cs="Arial"/>
          <w:color w:val="333333"/>
          <w:sz w:val="24"/>
          <w:szCs w:val="24"/>
          <w:shd w:val="clear" w:color="auto" w:fill="FFFFFF"/>
        </w:rPr>
        <w:t>estableció el </w:t>
      </w:r>
      <w:r w:rsidRPr="009451FB">
        <w:rPr>
          <w:rStyle w:val="Textoennegrita"/>
          <w:rFonts w:ascii="Arial" w:hAnsi="Arial" w:cs="Arial"/>
          <w:color w:val="333333"/>
          <w:sz w:val="24"/>
          <w:szCs w:val="24"/>
          <w:shd w:val="clear" w:color="auto" w:fill="FFFFFF"/>
        </w:rPr>
        <w:t>Cupo Laboral Travesti Trans en el sector público</w:t>
      </w:r>
      <w:r w:rsidRPr="009451FB">
        <w:rPr>
          <w:rFonts w:ascii="Arial" w:hAnsi="Arial" w:cs="Arial"/>
          <w:color w:val="333333"/>
          <w:sz w:val="24"/>
          <w:szCs w:val="24"/>
          <w:shd w:val="clear" w:color="auto" w:fill="FFFFFF"/>
        </w:rPr>
        <w:t>, que garantiza un mínimo del 1% de la totalidad de cargos y contratos para personas travestis, transexuales y transgénero, en un hecho histórico que busca reparar una desigualdad estructural que existe en la sociedad respecto a la población travesti trans.</w:t>
      </w:r>
    </w:p>
    <w:p w14:paraId="71264616" w14:textId="68170DA7" w:rsidR="0069420F" w:rsidRPr="009451FB" w:rsidRDefault="0069420F"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369323C4" wp14:editId="1CCD5CF6">
            <wp:extent cx="5400040" cy="303720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00040" cy="3037205"/>
                    </a:xfrm>
                    <a:prstGeom prst="rect">
                      <a:avLst/>
                    </a:prstGeom>
                  </pic:spPr>
                </pic:pic>
              </a:graphicData>
            </a:graphic>
          </wp:inline>
        </w:drawing>
      </w:r>
    </w:p>
    <w:p w14:paraId="5773B168" w14:textId="7B28BB44" w:rsidR="00F833B5" w:rsidRPr="009451FB" w:rsidRDefault="00F833B5" w:rsidP="009451FB">
      <w:pPr>
        <w:spacing w:line="240" w:lineRule="auto"/>
        <w:jc w:val="both"/>
        <w:rPr>
          <w:rFonts w:ascii="Arial" w:hAnsi="Arial" w:cs="Arial"/>
          <w:b/>
          <w:bCs/>
          <w:sz w:val="24"/>
          <w:szCs w:val="24"/>
        </w:rPr>
      </w:pPr>
    </w:p>
    <w:p w14:paraId="64A52885" w14:textId="04F6FA86" w:rsidR="000643FF" w:rsidRPr="009451FB" w:rsidRDefault="00412A93" w:rsidP="009451FB">
      <w:pPr>
        <w:spacing w:line="240" w:lineRule="auto"/>
        <w:jc w:val="both"/>
        <w:rPr>
          <w:rFonts w:ascii="Arial" w:hAnsi="Arial" w:cs="Arial"/>
          <w:b/>
          <w:bCs/>
          <w:sz w:val="24"/>
          <w:szCs w:val="24"/>
        </w:rPr>
      </w:pPr>
      <w:proofErr w:type="gramStart"/>
      <w:r w:rsidRPr="009451FB">
        <w:rPr>
          <w:rFonts w:ascii="Arial" w:hAnsi="Arial" w:cs="Arial"/>
          <w:b/>
          <w:bCs/>
          <w:sz w:val="24"/>
          <w:szCs w:val="24"/>
          <w:u w:val="single"/>
        </w:rPr>
        <w:t>4.</w:t>
      </w:r>
      <w:r w:rsidR="000643FF" w:rsidRPr="009451FB">
        <w:rPr>
          <w:rFonts w:ascii="Arial" w:hAnsi="Arial" w:cs="Arial"/>
          <w:b/>
          <w:bCs/>
          <w:sz w:val="24"/>
          <w:szCs w:val="24"/>
          <w:u w:val="single"/>
        </w:rPr>
        <w:t>La</w:t>
      </w:r>
      <w:proofErr w:type="gramEnd"/>
      <w:r w:rsidR="000643FF" w:rsidRPr="009451FB">
        <w:rPr>
          <w:rFonts w:ascii="Arial" w:hAnsi="Arial" w:cs="Arial"/>
          <w:b/>
          <w:bCs/>
          <w:sz w:val="24"/>
          <w:szCs w:val="24"/>
          <w:u w:val="single"/>
        </w:rPr>
        <w:t xml:space="preserve"> brecha de género y el Sistema Tributario. Las deducciones en el Impuesto a las ganancias régimen asalariado y trabajadores autónomos. La Seguridad Social los regímenes asalariados, monotributistas y autónomos</w:t>
      </w:r>
      <w:r w:rsidR="00771DC7" w:rsidRPr="009451FB">
        <w:rPr>
          <w:rFonts w:ascii="Arial" w:hAnsi="Arial" w:cs="Arial"/>
          <w:b/>
          <w:bCs/>
          <w:sz w:val="24"/>
          <w:szCs w:val="24"/>
        </w:rPr>
        <w:t xml:space="preserve"> (6)</w:t>
      </w:r>
    </w:p>
    <w:p w14:paraId="76E39082" w14:textId="77777777" w:rsidR="000643FF" w:rsidRPr="009451FB" w:rsidRDefault="000643FF" w:rsidP="009451FB">
      <w:pPr>
        <w:spacing w:line="240" w:lineRule="auto"/>
        <w:jc w:val="both"/>
        <w:rPr>
          <w:rFonts w:ascii="Arial" w:hAnsi="Arial" w:cs="Arial"/>
          <w:b/>
          <w:bCs/>
          <w:sz w:val="24"/>
          <w:szCs w:val="24"/>
        </w:rPr>
      </w:pPr>
    </w:p>
    <w:p w14:paraId="53A90111" w14:textId="739A7E13" w:rsidR="00F833B5" w:rsidRPr="009451FB" w:rsidRDefault="00412A93" w:rsidP="009451FB">
      <w:pPr>
        <w:spacing w:line="240" w:lineRule="auto"/>
        <w:jc w:val="both"/>
        <w:rPr>
          <w:rFonts w:ascii="Arial" w:hAnsi="Arial" w:cs="Arial"/>
          <w:sz w:val="24"/>
          <w:szCs w:val="24"/>
        </w:rPr>
      </w:pPr>
      <w:r w:rsidRPr="009451FB">
        <w:rPr>
          <w:rFonts w:ascii="Arial" w:hAnsi="Arial" w:cs="Arial"/>
          <w:b/>
          <w:bCs/>
          <w:sz w:val="24"/>
          <w:szCs w:val="24"/>
        </w:rPr>
        <w:t>4.1.</w:t>
      </w:r>
      <w:r w:rsidR="00ED7231" w:rsidRPr="009451FB">
        <w:rPr>
          <w:rFonts w:ascii="Arial" w:hAnsi="Arial" w:cs="Arial"/>
          <w:b/>
          <w:bCs/>
          <w:sz w:val="24"/>
          <w:szCs w:val="24"/>
        </w:rPr>
        <w:t xml:space="preserve"> </w:t>
      </w:r>
      <w:r w:rsidR="00F833B5" w:rsidRPr="009451FB">
        <w:rPr>
          <w:rFonts w:ascii="Arial" w:hAnsi="Arial" w:cs="Arial"/>
          <w:b/>
          <w:bCs/>
          <w:sz w:val="24"/>
          <w:szCs w:val="24"/>
        </w:rPr>
        <w:t xml:space="preserve">Nuestro Sistema Tributario </w:t>
      </w:r>
      <w:r w:rsidR="00F971C4" w:rsidRPr="009451FB">
        <w:rPr>
          <w:rFonts w:ascii="Arial" w:hAnsi="Arial" w:cs="Arial"/>
          <w:b/>
          <w:bCs/>
          <w:sz w:val="24"/>
          <w:szCs w:val="24"/>
        </w:rPr>
        <w:t>discrimina en contra de las mujeres o las invisibiliza de alguna manera</w:t>
      </w:r>
      <w:proofErr w:type="gramStart"/>
      <w:r w:rsidR="000643FF" w:rsidRPr="009451FB">
        <w:rPr>
          <w:rFonts w:ascii="Arial" w:hAnsi="Arial" w:cs="Arial"/>
          <w:b/>
          <w:bCs/>
          <w:sz w:val="24"/>
          <w:szCs w:val="24"/>
        </w:rPr>
        <w:t>?</w:t>
      </w:r>
      <w:proofErr w:type="gramEnd"/>
      <w:r w:rsidR="0002156C" w:rsidRPr="009451FB">
        <w:rPr>
          <w:rFonts w:ascii="Arial" w:hAnsi="Arial" w:cs="Arial"/>
          <w:b/>
          <w:bCs/>
          <w:sz w:val="24"/>
          <w:szCs w:val="24"/>
        </w:rPr>
        <w:t xml:space="preserve"> </w:t>
      </w:r>
      <w:r w:rsidR="0002156C" w:rsidRPr="009451FB">
        <w:rPr>
          <w:rFonts w:ascii="Arial" w:hAnsi="Arial" w:cs="Arial"/>
          <w:sz w:val="24"/>
          <w:szCs w:val="24"/>
        </w:rPr>
        <w:t>Cómo se refleja en la</w:t>
      </w:r>
      <w:r w:rsidR="00C81D9E" w:rsidRPr="009451FB">
        <w:rPr>
          <w:rFonts w:ascii="Arial" w:hAnsi="Arial" w:cs="Arial"/>
          <w:sz w:val="24"/>
          <w:szCs w:val="24"/>
        </w:rPr>
        <w:t xml:space="preserve"> equidad de </w:t>
      </w:r>
      <w:proofErr w:type="gramStart"/>
      <w:r w:rsidR="00C81D9E" w:rsidRPr="009451FB">
        <w:rPr>
          <w:rFonts w:ascii="Arial" w:hAnsi="Arial" w:cs="Arial"/>
          <w:sz w:val="24"/>
          <w:szCs w:val="24"/>
        </w:rPr>
        <w:t xml:space="preserve">la </w:t>
      </w:r>
      <w:r w:rsidR="0002156C" w:rsidRPr="009451FB">
        <w:rPr>
          <w:rFonts w:ascii="Arial" w:hAnsi="Arial" w:cs="Arial"/>
          <w:sz w:val="24"/>
          <w:szCs w:val="24"/>
        </w:rPr>
        <w:t xml:space="preserve"> imposición</w:t>
      </w:r>
      <w:proofErr w:type="gramEnd"/>
      <w:r w:rsidR="0002156C" w:rsidRPr="009451FB">
        <w:rPr>
          <w:rFonts w:ascii="Arial" w:hAnsi="Arial" w:cs="Arial"/>
          <w:sz w:val="24"/>
          <w:szCs w:val="24"/>
        </w:rPr>
        <w:t xml:space="preserve"> el tomar a cargo o delegar tareas de cuidado de niños, personas mayores o enfermas? </w:t>
      </w:r>
      <w:r w:rsidR="00C81D9E" w:rsidRPr="009451FB">
        <w:rPr>
          <w:rFonts w:ascii="Arial" w:hAnsi="Arial" w:cs="Arial"/>
          <w:sz w:val="24"/>
          <w:szCs w:val="24"/>
        </w:rPr>
        <w:t>Las figuras de los hogares monoparentales a cargo de mujeres ¿Discrimina nuestro impuesto a las ganancias implícita o expl</w:t>
      </w:r>
      <w:r w:rsidR="008C35B5" w:rsidRPr="009451FB">
        <w:rPr>
          <w:rFonts w:ascii="Arial" w:hAnsi="Arial" w:cs="Arial"/>
          <w:sz w:val="24"/>
          <w:szCs w:val="24"/>
        </w:rPr>
        <w:t>íci</w:t>
      </w:r>
      <w:r w:rsidR="00C81D9E" w:rsidRPr="009451FB">
        <w:rPr>
          <w:rFonts w:ascii="Arial" w:hAnsi="Arial" w:cs="Arial"/>
          <w:sz w:val="24"/>
          <w:szCs w:val="24"/>
        </w:rPr>
        <w:t>tamente en contra de las mujeres</w:t>
      </w:r>
      <w:r w:rsidR="00AF7E8B" w:rsidRPr="009451FB">
        <w:rPr>
          <w:rFonts w:ascii="Arial" w:hAnsi="Arial" w:cs="Arial"/>
          <w:sz w:val="24"/>
          <w:szCs w:val="24"/>
        </w:rPr>
        <w:t>?</w:t>
      </w:r>
    </w:p>
    <w:p w14:paraId="312A58BB" w14:textId="77777777" w:rsidR="00070049" w:rsidRPr="009451FB" w:rsidRDefault="00070049" w:rsidP="009451FB">
      <w:pPr>
        <w:spacing w:line="240" w:lineRule="auto"/>
        <w:jc w:val="both"/>
        <w:rPr>
          <w:rFonts w:ascii="Arial" w:hAnsi="Arial" w:cs="Arial"/>
          <w:sz w:val="24"/>
          <w:szCs w:val="24"/>
        </w:rPr>
      </w:pPr>
    </w:p>
    <w:p w14:paraId="7521D1E4" w14:textId="24565621" w:rsidR="00F971C4" w:rsidRPr="009451FB" w:rsidRDefault="00F971C4" w:rsidP="009451FB">
      <w:pPr>
        <w:spacing w:line="240" w:lineRule="auto"/>
        <w:jc w:val="both"/>
        <w:rPr>
          <w:rFonts w:ascii="Arial" w:hAnsi="Arial" w:cs="Arial"/>
          <w:sz w:val="24"/>
          <w:szCs w:val="24"/>
        </w:rPr>
      </w:pPr>
      <w:r w:rsidRPr="009451FB">
        <w:rPr>
          <w:rFonts w:ascii="Arial" w:hAnsi="Arial" w:cs="Arial"/>
          <w:sz w:val="24"/>
          <w:szCs w:val="24"/>
        </w:rPr>
        <w:t>Analicemos el sistema de deducciones en el Impuesto a las Ganancias en relación de dependencia, Autónomos y Monotributistas</w:t>
      </w:r>
      <w:r w:rsidR="000643FF" w:rsidRPr="009451FB">
        <w:rPr>
          <w:rFonts w:ascii="Arial" w:hAnsi="Arial" w:cs="Arial"/>
          <w:sz w:val="24"/>
          <w:szCs w:val="24"/>
        </w:rPr>
        <w:t>:</w:t>
      </w:r>
    </w:p>
    <w:p w14:paraId="67C49A01" w14:textId="71BB86BE" w:rsidR="00F971C4" w:rsidRPr="009451FB" w:rsidRDefault="00F971C4"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 xml:space="preserve">Ante la gran cantidad de hogares monoparentales integrados por mujeres y sus hijos la deducción del Cónyuge para los Hogares biparentales, </w:t>
      </w:r>
      <w:r w:rsidRPr="009451FB">
        <w:rPr>
          <w:rFonts w:ascii="Arial" w:hAnsi="Arial" w:cs="Arial"/>
          <w:sz w:val="24"/>
          <w:szCs w:val="24"/>
        </w:rPr>
        <w:lastRenderedPageBreak/>
        <w:t xml:space="preserve">invisibiliza y no reconoce la situación de las Jefas de Hogar que llevan adelante la doble tarea doméstica y de trabajo remunerado. </w:t>
      </w:r>
    </w:p>
    <w:p w14:paraId="422D27C0" w14:textId="1BFC347F" w:rsidR="00F971C4" w:rsidRPr="009451FB" w:rsidRDefault="00F971C4"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Para el caso de las trabajadoras autónomas no tienen derecho a la deducción especial de 4ta categoría.</w:t>
      </w:r>
    </w:p>
    <w:p w14:paraId="3576BD83" w14:textId="452D2B4F" w:rsidR="00F971C4" w:rsidRPr="009451FB" w:rsidRDefault="00F971C4"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Autónomos y Monotributistas no tienen derecho a una Licencia por Maternidad ni por Paternidad.</w:t>
      </w:r>
    </w:p>
    <w:p w14:paraId="70E34725" w14:textId="617C1B2B" w:rsidR="00F971C4" w:rsidRPr="009451FB" w:rsidRDefault="00F971C4"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Licencias por Paternidad.</w:t>
      </w:r>
    </w:p>
    <w:p w14:paraId="712B1C55" w14:textId="3840108D" w:rsidR="00965B5B" w:rsidRPr="009451FB" w:rsidRDefault="00965B5B"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Incentivos Tributarios a las tareas de cuidado. Falta de deducciones para tareas de cuidado en Monotributistas.  Aumento en autónomos.</w:t>
      </w:r>
    </w:p>
    <w:p w14:paraId="06B25E6E" w14:textId="53B02A3F" w:rsidR="00965B5B" w:rsidRPr="009451FB" w:rsidRDefault="00965B5B"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Menores derechos a la Seguridad Social en Autónomos y Monotributistas frente a trabajadores asalariados.</w:t>
      </w:r>
    </w:p>
    <w:p w14:paraId="28518A08" w14:textId="5A589324" w:rsidR="00965B5B" w:rsidRPr="009451FB" w:rsidRDefault="00965B5B" w:rsidP="009451FB">
      <w:pPr>
        <w:pStyle w:val="Prrafodelista"/>
        <w:numPr>
          <w:ilvl w:val="0"/>
          <w:numId w:val="11"/>
        </w:numPr>
        <w:spacing w:line="240" w:lineRule="auto"/>
        <w:jc w:val="both"/>
        <w:rPr>
          <w:rFonts w:ascii="Arial" w:hAnsi="Arial" w:cs="Arial"/>
          <w:sz w:val="24"/>
          <w:szCs w:val="24"/>
        </w:rPr>
      </w:pPr>
      <w:r w:rsidRPr="009451FB">
        <w:rPr>
          <w:rFonts w:ascii="Arial" w:hAnsi="Arial" w:cs="Arial"/>
          <w:sz w:val="24"/>
          <w:szCs w:val="24"/>
        </w:rPr>
        <w:t>Base tributación Bienes Gananciales los declara el marido. Invisibiliza a la mujer.</w:t>
      </w:r>
    </w:p>
    <w:p w14:paraId="1CCDB7DE" w14:textId="31DD26D6" w:rsidR="00965B5B" w:rsidRPr="009451FB" w:rsidRDefault="00F971C4" w:rsidP="009451FB">
      <w:pPr>
        <w:spacing w:line="240" w:lineRule="auto"/>
        <w:ind w:left="360"/>
        <w:jc w:val="both"/>
        <w:rPr>
          <w:rFonts w:ascii="Arial" w:hAnsi="Arial" w:cs="Arial"/>
          <w:sz w:val="24"/>
          <w:szCs w:val="24"/>
        </w:rPr>
      </w:pPr>
      <w:r w:rsidRPr="009451FB">
        <w:rPr>
          <w:rFonts w:ascii="Arial" w:hAnsi="Arial" w:cs="Arial"/>
          <w:sz w:val="24"/>
          <w:szCs w:val="24"/>
        </w:rPr>
        <w:t xml:space="preserve">La revisión del sistema tributario desde la perspectiva de la CEDAW implica evaluar no sólo que el total recaudado sea suficiente para asegurar el ejercicio de los derechos civiles, políticos, económicos, sociales y culturales para varones y mujeres en condiciones de igualdad, </w:t>
      </w:r>
      <w:r w:rsidRPr="009451FB">
        <w:rPr>
          <w:rFonts w:ascii="Arial" w:hAnsi="Arial" w:cs="Arial"/>
          <w:b/>
          <w:bCs/>
          <w:sz w:val="24"/>
          <w:szCs w:val="24"/>
        </w:rPr>
        <w:t>sino también que estos recursos sean recaudados de una manera consistente con el objetivo de alcanzar la igualdad sustantiva.</w:t>
      </w:r>
      <w:r w:rsidRPr="009451FB">
        <w:rPr>
          <w:rFonts w:ascii="Arial" w:hAnsi="Arial" w:cs="Arial"/>
          <w:sz w:val="24"/>
          <w:szCs w:val="24"/>
        </w:rPr>
        <w:t xml:space="preserve"> </w:t>
      </w:r>
      <w:r w:rsidR="00047E4B" w:rsidRPr="009451FB">
        <w:rPr>
          <w:rFonts w:ascii="Arial" w:hAnsi="Arial" w:cs="Arial"/>
          <w:sz w:val="24"/>
          <w:szCs w:val="24"/>
        </w:rPr>
        <w:t xml:space="preserve">Si bien </w:t>
      </w:r>
      <w:r w:rsidRPr="009451FB">
        <w:rPr>
          <w:rFonts w:ascii="Arial" w:hAnsi="Arial" w:cs="Arial"/>
          <w:sz w:val="24"/>
          <w:szCs w:val="24"/>
        </w:rPr>
        <w:t>la CEDAW no incluy</w:t>
      </w:r>
      <w:r w:rsidR="00047E4B" w:rsidRPr="009451FB">
        <w:rPr>
          <w:rFonts w:ascii="Arial" w:hAnsi="Arial" w:cs="Arial"/>
          <w:sz w:val="24"/>
          <w:szCs w:val="24"/>
        </w:rPr>
        <w:t xml:space="preserve">e </w:t>
      </w:r>
      <w:r w:rsidRPr="009451FB">
        <w:rPr>
          <w:rFonts w:ascii="Arial" w:hAnsi="Arial" w:cs="Arial"/>
          <w:sz w:val="24"/>
          <w:szCs w:val="24"/>
        </w:rPr>
        <w:t xml:space="preserve">referencias </w:t>
      </w:r>
      <w:r w:rsidR="00047E4B" w:rsidRPr="009451FB">
        <w:rPr>
          <w:rFonts w:ascii="Arial" w:hAnsi="Arial" w:cs="Arial"/>
          <w:sz w:val="24"/>
          <w:szCs w:val="24"/>
        </w:rPr>
        <w:t xml:space="preserve">concretas </w:t>
      </w:r>
      <w:r w:rsidRPr="009451FB">
        <w:rPr>
          <w:rFonts w:ascii="Arial" w:hAnsi="Arial" w:cs="Arial"/>
          <w:sz w:val="24"/>
          <w:szCs w:val="24"/>
        </w:rPr>
        <w:t>a las políticas tributarias, los principios generales de no discriminación e igualdad sustantiva consagrados en la Convención resultan aplicables a este campo de estudio.</w:t>
      </w:r>
    </w:p>
    <w:p w14:paraId="278FB49D" w14:textId="77777777" w:rsidR="00965B5B" w:rsidRPr="009451FB" w:rsidRDefault="00F971C4" w:rsidP="009451FB">
      <w:pPr>
        <w:spacing w:line="240" w:lineRule="auto"/>
        <w:ind w:left="360"/>
        <w:jc w:val="both"/>
        <w:rPr>
          <w:rFonts w:ascii="Arial" w:hAnsi="Arial" w:cs="Arial"/>
          <w:sz w:val="24"/>
          <w:szCs w:val="24"/>
        </w:rPr>
      </w:pPr>
      <w:r w:rsidRPr="009451FB">
        <w:rPr>
          <w:rFonts w:ascii="Arial" w:hAnsi="Arial" w:cs="Arial"/>
          <w:sz w:val="24"/>
          <w:szCs w:val="24"/>
        </w:rPr>
        <w:t xml:space="preserve">La Recomendación General Nº 21 del Comité de la CEDAW ha interpretado que </w:t>
      </w:r>
      <w:r w:rsidRPr="009451FB">
        <w:rPr>
          <w:rFonts w:ascii="Arial" w:hAnsi="Arial" w:cs="Arial"/>
          <w:b/>
          <w:bCs/>
          <w:sz w:val="24"/>
          <w:szCs w:val="24"/>
        </w:rPr>
        <w:t>“los principios de equidad, justicia y plena realización de todos son la base de una familia estable”</w:t>
      </w:r>
      <w:r w:rsidRPr="009451FB">
        <w:rPr>
          <w:rFonts w:ascii="Arial" w:hAnsi="Arial" w:cs="Arial"/>
          <w:sz w:val="24"/>
          <w:szCs w:val="24"/>
        </w:rPr>
        <w:t xml:space="preserve"> (párrafo 24). P</w:t>
      </w:r>
    </w:p>
    <w:p w14:paraId="0538F6F4" w14:textId="77777777" w:rsidR="00047E4B" w:rsidRPr="009451FB" w:rsidRDefault="00965B5B" w:rsidP="009451FB">
      <w:pPr>
        <w:spacing w:line="240" w:lineRule="auto"/>
        <w:ind w:left="360"/>
        <w:jc w:val="both"/>
        <w:rPr>
          <w:rFonts w:ascii="Arial" w:hAnsi="Arial" w:cs="Arial"/>
          <w:sz w:val="24"/>
          <w:szCs w:val="24"/>
        </w:rPr>
      </w:pPr>
      <w:r w:rsidRPr="009451FB">
        <w:rPr>
          <w:rFonts w:ascii="Arial" w:hAnsi="Arial" w:cs="Arial"/>
          <w:sz w:val="24"/>
          <w:szCs w:val="24"/>
        </w:rPr>
        <w:t>U</w:t>
      </w:r>
      <w:r w:rsidR="00F971C4" w:rsidRPr="009451FB">
        <w:rPr>
          <w:rFonts w:ascii="Arial" w:hAnsi="Arial" w:cs="Arial"/>
          <w:sz w:val="24"/>
          <w:szCs w:val="24"/>
        </w:rPr>
        <w:t xml:space="preserve">n sistema tributario equitativo en términos de género requiere que las mujeres sean tratadas en condiciones de igualdad con los varones, como individuos autónomos e independientes, promoviendo no sólo la igualdad formal entre los sexos sino la igualdad sustantiva, </w:t>
      </w:r>
      <w:r w:rsidR="00F971C4" w:rsidRPr="009451FB">
        <w:rPr>
          <w:rFonts w:ascii="Arial" w:hAnsi="Arial" w:cs="Arial"/>
          <w:b/>
          <w:bCs/>
          <w:sz w:val="24"/>
          <w:szCs w:val="24"/>
        </w:rPr>
        <w:t>incluyendo la consolidación de relaciones familiares equitativas</w:t>
      </w:r>
      <w:r w:rsidR="00F971C4" w:rsidRPr="009451FB">
        <w:rPr>
          <w:rFonts w:ascii="Arial" w:hAnsi="Arial" w:cs="Arial"/>
          <w:sz w:val="24"/>
          <w:szCs w:val="24"/>
        </w:rPr>
        <w:t>. El análisis de los impuestos sobre las ganancias de las personas físicas constituye un buen punto de partida para la revisión del sistema tributario desde una perspectiva de género</w:t>
      </w:r>
      <w:r w:rsidR="00047E4B" w:rsidRPr="009451FB">
        <w:rPr>
          <w:rFonts w:ascii="Arial" w:hAnsi="Arial" w:cs="Arial"/>
          <w:sz w:val="24"/>
          <w:szCs w:val="24"/>
        </w:rPr>
        <w:t xml:space="preserve"> por tratarse de un </w:t>
      </w:r>
      <w:r w:rsidR="00F971C4" w:rsidRPr="009451FB">
        <w:rPr>
          <w:rFonts w:ascii="Arial" w:hAnsi="Arial" w:cs="Arial"/>
          <w:sz w:val="24"/>
          <w:szCs w:val="24"/>
        </w:rPr>
        <w:t xml:space="preserve"> impuesto personal sobre la renta puede analizarse tanto sobre las base de los individuos que grava como respecto de las distintas composiciones familiares que afecta.</w:t>
      </w:r>
    </w:p>
    <w:p w14:paraId="610A7316" w14:textId="77777777" w:rsidR="00047E4B" w:rsidRPr="009451FB" w:rsidRDefault="00F971C4" w:rsidP="009451FB">
      <w:pPr>
        <w:spacing w:line="240" w:lineRule="auto"/>
        <w:ind w:left="360"/>
        <w:jc w:val="both"/>
        <w:rPr>
          <w:rFonts w:ascii="Arial" w:hAnsi="Arial" w:cs="Arial"/>
          <w:sz w:val="24"/>
          <w:szCs w:val="24"/>
        </w:rPr>
      </w:pPr>
      <w:r w:rsidRPr="009451FB">
        <w:rPr>
          <w:rFonts w:ascii="Arial" w:hAnsi="Arial" w:cs="Arial"/>
          <w:sz w:val="24"/>
          <w:szCs w:val="24"/>
        </w:rPr>
        <w:t xml:space="preserve">Desde la perspectiva de la CEDAW, los impuestos sobre </w:t>
      </w:r>
      <w:r w:rsidR="00965B5B" w:rsidRPr="009451FB">
        <w:rPr>
          <w:rFonts w:ascii="Arial" w:hAnsi="Arial" w:cs="Arial"/>
          <w:sz w:val="24"/>
          <w:szCs w:val="24"/>
        </w:rPr>
        <w:t xml:space="preserve">las </w:t>
      </w:r>
      <w:r w:rsidRPr="009451FB">
        <w:rPr>
          <w:rFonts w:ascii="Arial" w:hAnsi="Arial" w:cs="Arial"/>
          <w:sz w:val="24"/>
          <w:szCs w:val="24"/>
        </w:rPr>
        <w:t>ganancias de las personas físicas pueden analizarse en cuatro dimensiones:</w:t>
      </w:r>
    </w:p>
    <w:p w14:paraId="0D3FAC85" w14:textId="77777777" w:rsidR="00047E4B" w:rsidRPr="009451FB" w:rsidRDefault="00047E4B" w:rsidP="009451FB">
      <w:pPr>
        <w:pStyle w:val="Prrafodelista"/>
        <w:numPr>
          <w:ilvl w:val="0"/>
          <w:numId w:val="12"/>
        </w:numPr>
        <w:spacing w:line="240" w:lineRule="auto"/>
        <w:jc w:val="both"/>
        <w:rPr>
          <w:rFonts w:ascii="Arial" w:hAnsi="Arial" w:cs="Arial"/>
          <w:sz w:val="24"/>
          <w:szCs w:val="24"/>
        </w:rPr>
      </w:pPr>
      <w:r w:rsidRPr="009451FB">
        <w:rPr>
          <w:rFonts w:ascii="Arial" w:hAnsi="Arial" w:cs="Arial"/>
          <w:sz w:val="24"/>
          <w:szCs w:val="24"/>
        </w:rPr>
        <w:t>El</w:t>
      </w:r>
      <w:r w:rsidR="00F971C4" w:rsidRPr="009451FB">
        <w:rPr>
          <w:rFonts w:ascii="Arial" w:hAnsi="Arial" w:cs="Arial"/>
          <w:sz w:val="24"/>
          <w:szCs w:val="24"/>
        </w:rPr>
        <w:t xml:space="preserve"> contenido mismo de las normas tributarias y su eventual contenido explícita o implícitamente discriminatorio</w:t>
      </w:r>
    </w:p>
    <w:p w14:paraId="56A3200B" w14:textId="21112A84" w:rsidR="00047E4B" w:rsidRPr="009451FB" w:rsidRDefault="00047E4B" w:rsidP="009451FB">
      <w:pPr>
        <w:pStyle w:val="Prrafodelista"/>
        <w:numPr>
          <w:ilvl w:val="0"/>
          <w:numId w:val="12"/>
        </w:numPr>
        <w:spacing w:line="240" w:lineRule="auto"/>
        <w:jc w:val="both"/>
        <w:rPr>
          <w:rFonts w:ascii="Arial" w:hAnsi="Arial" w:cs="Arial"/>
          <w:sz w:val="24"/>
          <w:szCs w:val="24"/>
        </w:rPr>
      </w:pPr>
      <w:r w:rsidRPr="009451FB">
        <w:rPr>
          <w:rFonts w:ascii="Arial" w:hAnsi="Arial" w:cs="Arial"/>
          <w:sz w:val="24"/>
          <w:szCs w:val="24"/>
        </w:rPr>
        <w:t>La</w:t>
      </w:r>
      <w:r w:rsidR="00F971C4" w:rsidRPr="009451FB">
        <w:rPr>
          <w:rFonts w:ascii="Arial" w:hAnsi="Arial" w:cs="Arial"/>
          <w:sz w:val="24"/>
          <w:szCs w:val="24"/>
        </w:rPr>
        <w:t xml:space="preserve"> incidencia del impuesto sobre varones y mujeres y hogares de diversa composición</w:t>
      </w:r>
      <w:r w:rsidRPr="009451FB">
        <w:rPr>
          <w:rFonts w:ascii="Arial" w:hAnsi="Arial" w:cs="Arial"/>
          <w:sz w:val="24"/>
          <w:szCs w:val="24"/>
        </w:rPr>
        <w:t>, por ejemplo hogares nucleares completos o incompletos</w:t>
      </w:r>
      <w:r w:rsidR="00E277D8" w:rsidRPr="009451FB">
        <w:rPr>
          <w:rFonts w:ascii="Arial" w:hAnsi="Arial" w:cs="Arial"/>
          <w:sz w:val="24"/>
          <w:szCs w:val="24"/>
        </w:rPr>
        <w:t xml:space="preserve"> </w:t>
      </w:r>
      <w:r w:rsidRPr="009451FB">
        <w:rPr>
          <w:rFonts w:ascii="Arial" w:hAnsi="Arial" w:cs="Arial"/>
          <w:sz w:val="24"/>
          <w:szCs w:val="24"/>
        </w:rPr>
        <w:t>(monoparentales)</w:t>
      </w:r>
    </w:p>
    <w:p w14:paraId="6C3E3415" w14:textId="27685B25" w:rsidR="00F971C4" w:rsidRPr="009451FB" w:rsidRDefault="00047E4B" w:rsidP="009451FB">
      <w:pPr>
        <w:pStyle w:val="Prrafodelista"/>
        <w:numPr>
          <w:ilvl w:val="0"/>
          <w:numId w:val="12"/>
        </w:numPr>
        <w:spacing w:line="240" w:lineRule="auto"/>
        <w:jc w:val="both"/>
        <w:rPr>
          <w:rFonts w:ascii="Arial" w:hAnsi="Arial" w:cs="Arial"/>
          <w:sz w:val="24"/>
          <w:szCs w:val="24"/>
        </w:rPr>
      </w:pPr>
      <w:r w:rsidRPr="009451FB">
        <w:rPr>
          <w:rFonts w:ascii="Arial" w:hAnsi="Arial" w:cs="Arial"/>
          <w:sz w:val="24"/>
          <w:szCs w:val="24"/>
        </w:rPr>
        <w:t>Los</w:t>
      </w:r>
      <w:r w:rsidR="00F971C4" w:rsidRPr="009451FB">
        <w:rPr>
          <w:rFonts w:ascii="Arial" w:hAnsi="Arial" w:cs="Arial"/>
          <w:sz w:val="24"/>
          <w:szCs w:val="24"/>
        </w:rPr>
        <w:t xml:space="preserve"> incentivos que los impuestos determinan respecto de ciertas conductas; y su impacto en términos de desigualdad de género en los ingresos (Elson, 2006). Al analizar la normativa tributaria pueden identificarse sesgos explícitos o implícitos que den cuenta de discriminaciones de género.</w:t>
      </w:r>
    </w:p>
    <w:p w14:paraId="2665CF41" w14:textId="75DAB814" w:rsidR="0002156C" w:rsidRPr="009451FB" w:rsidRDefault="0002156C" w:rsidP="009451FB">
      <w:pPr>
        <w:spacing w:line="240" w:lineRule="auto"/>
        <w:ind w:left="360"/>
        <w:jc w:val="both"/>
        <w:rPr>
          <w:rFonts w:ascii="Arial" w:hAnsi="Arial" w:cs="Arial"/>
          <w:sz w:val="24"/>
          <w:szCs w:val="24"/>
        </w:rPr>
      </w:pPr>
      <w:r w:rsidRPr="009451FB">
        <w:rPr>
          <w:rFonts w:ascii="Arial" w:hAnsi="Arial" w:cs="Arial"/>
          <w:sz w:val="24"/>
          <w:szCs w:val="24"/>
        </w:rPr>
        <w:lastRenderedPageBreak/>
        <w:t xml:space="preserve">A los efectos de lograr la equidad de género, puedo ocurrir que, inicialmente se precise de una medida que luzca inequitativa o discriminatoria, pero </w:t>
      </w:r>
      <w:r w:rsidR="00047E4B" w:rsidRPr="009451FB">
        <w:rPr>
          <w:rFonts w:ascii="Arial" w:hAnsi="Arial" w:cs="Arial"/>
          <w:sz w:val="24"/>
          <w:szCs w:val="24"/>
        </w:rPr>
        <w:t xml:space="preserve">que sin embargo </w:t>
      </w:r>
      <w:r w:rsidRPr="009451FB">
        <w:rPr>
          <w:rFonts w:ascii="Arial" w:hAnsi="Arial" w:cs="Arial"/>
          <w:sz w:val="24"/>
          <w:szCs w:val="24"/>
        </w:rPr>
        <w:t>es necesaria para alcanzar</w:t>
      </w:r>
      <w:r w:rsidR="00047E4B" w:rsidRPr="009451FB">
        <w:rPr>
          <w:rFonts w:ascii="Arial" w:hAnsi="Arial" w:cs="Arial"/>
          <w:sz w:val="24"/>
          <w:szCs w:val="24"/>
        </w:rPr>
        <w:t>,</w:t>
      </w:r>
      <w:r w:rsidR="00412A93" w:rsidRPr="009451FB">
        <w:rPr>
          <w:rFonts w:ascii="Arial" w:hAnsi="Arial" w:cs="Arial"/>
          <w:sz w:val="24"/>
          <w:szCs w:val="24"/>
        </w:rPr>
        <w:t xml:space="preserve"> </w:t>
      </w:r>
      <w:r w:rsidR="00047E4B" w:rsidRPr="009451FB">
        <w:rPr>
          <w:rFonts w:ascii="Arial" w:hAnsi="Arial" w:cs="Arial"/>
          <w:sz w:val="24"/>
          <w:szCs w:val="24"/>
        </w:rPr>
        <w:t xml:space="preserve">nivelar y </w:t>
      </w:r>
      <w:r w:rsidRPr="009451FB">
        <w:rPr>
          <w:rFonts w:ascii="Arial" w:hAnsi="Arial" w:cs="Arial"/>
          <w:sz w:val="24"/>
          <w:szCs w:val="24"/>
        </w:rPr>
        <w:t>corregir una inequidad previa.</w:t>
      </w:r>
    </w:p>
    <w:p w14:paraId="62D4BCCB" w14:textId="77141E9A" w:rsidR="00412A93" w:rsidRPr="009451FB" w:rsidRDefault="00412A93" w:rsidP="009451FB">
      <w:pPr>
        <w:spacing w:line="240" w:lineRule="auto"/>
        <w:ind w:left="360"/>
        <w:jc w:val="both"/>
        <w:rPr>
          <w:rFonts w:ascii="Arial" w:hAnsi="Arial" w:cs="Arial"/>
          <w:sz w:val="24"/>
          <w:szCs w:val="24"/>
        </w:rPr>
      </w:pPr>
      <w:r w:rsidRPr="009451FB">
        <w:rPr>
          <w:rFonts w:ascii="Arial" w:hAnsi="Arial" w:cs="Arial"/>
          <w:sz w:val="24"/>
          <w:szCs w:val="24"/>
        </w:rPr>
        <w:t>En el análisis de la cantidad de mujeres asalariadas, monotributistas y autónomos, vemos la menor proporción de mujeres entre el segmento de asalariados, que otorga mejores beneficios de seguridad social, mayores deducciones de impuestos y a su vez invisibiliza a las mujeres Jefas de Hogares monoparentales, y la mayor proporción de mujeres en Monotributo y Casas Particulares, con formas más precarias de protección laboral y previsional.</w:t>
      </w:r>
    </w:p>
    <w:tbl>
      <w:tblPr>
        <w:tblW w:w="8173" w:type="dxa"/>
        <w:tblCellMar>
          <w:left w:w="70" w:type="dxa"/>
          <w:right w:w="70" w:type="dxa"/>
        </w:tblCellMar>
        <w:tblLook w:val="04A0" w:firstRow="1" w:lastRow="0" w:firstColumn="1" w:lastColumn="0" w:noHBand="0" w:noVBand="1"/>
      </w:tblPr>
      <w:tblGrid>
        <w:gridCol w:w="1846"/>
        <w:gridCol w:w="207"/>
        <w:gridCol w:w="1640"/>
        <w:gridCol w:w="1640"/>
        <w:gridCol w:w="1534"/>
        <w:gridCol w:w="1631"/>
      </w:tblGrid>
      <w:tr w:rsidR="005E18FD" w:rsidRPr="009451FB" w14:paraId="06C65EB3" w14:textId="77777777" w:rsidTr="005E18FD">
        <w:trPr>
          <w:trHeight w:val="300"/>
        </w:trPr>
        <w:tc>
          <w:tcPr>
            <w:tcW w:w="5293" w:type="dxa"/>
            <w:gridSpan w:val="4"/>
            <w:tcBorders>
              <w:top w:val="single" w:sz="4" w:space="0" w:color="auto"/>
              <w:left w:val="single" w:sz="4" w:space="0" w:color="auto"/>
              <w:bottom w:val="nil"/>
              <w:right w:val="nil"/>
            </w:tcBorders>
            <w:shd w:val="clear" w:color="auto" w:fill="auto"/>
            <w:noWrap/>
            <w:vAlign w:val="bottom"/>
            <w:hideMark/>
          </w:tcPr>
          <w:p w14:paraId="70AF9FAF" w14:textId="0A60F363"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Totales de Contribuyentes clasificados por Sexo</w:t>
            </w:r>
            <w:r w:rsidR="00771DC7" w:rsidRPr="009451FB">
              <w:rPr>
                <w:rFonts w:ascii="Arial" w:eastAsia="Times New Roman" w:hAnsi="Arial" w:cs="Arial"/>
                <w:b/>
                <w:bCs/>
                <w:color w:val="000000"/>
                <w:sz w:val="24"/>
                <w:szCs w:val="24"/>
                <w:lang w:eastAsia="es-AR"/>
              </w:rPr>
              <w:t xml:space="preserve"> (7)</w:t>
            </w:r>
          </w:p>
        </w:tc>
        <w:tc>
          <w:tcPr>
            <w:tcW w:w="1240" w:type="dxa"/>
            <w:tcBorders>
              <w:top w:val="single" w:sz="4" w:space="0" w:color="auto"/>
              <w:left w:val="nil"/>
              <w:bottom w:val="nil"/>
              <w:right w:val="nil"/>
            </w:tcBorders>
            <w:shd w:val="clear" w:color="auto" w:fill="auto"/>
            <w:noWrap/>
            <w:vAlign w:val="bottom"/>
            <w:hideMark/>
          </w:tcPr>
          <w:p w14:paraId="1C8DF42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640" w:type="dxa"/>
            <w:tcBorders>
              <w:top w:val="single" w:sz="4" w:space="0" w:color="auto"/>
              <w:left w:val="nil"/>
              <w:bottom w:val="nil"/>
              <w:right w:val="single" w:sz="4" w:space="0" w:color="auto"/>
            </w:tcBorders>
            <w:shd w:val="clear" w:color="auto" w:fill="auto"/>
            <w:noWrap/>
            <w:vAlign w:val="bottom"/>
            <w:hideMark/>
          </w:tcPr>
          <w:p w14:paraId="0CDC9ED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071D3D6D"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032B9C2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39" w:type="dxa"/>
            <w:tcBorders>
              <w:top w:val="nil"/>
              <w:left w:val="nil"/>
              <w:bottom w:val="nil"/>
              <w:right w:val="nil"/>
            </w:tcBorders>
            <w:shd w:val="clear" w:color="auto" w:fill="auto"/>
            <w:noWrap/>
            <w:vAlign w:val="bottom"/>
            <w:hideMark/>
          </w:tcPr>
          <w:p w14:paraId="3B12FEB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single" w:sz="4" w:space="0" w:color="auto"/>
              <w:left w:val="single" w:sz="4" w:space="0" w:color="auto"/>
              <w:bottom w:val="single" w:sz="4" w:space="0" w:color="auto"/>
              <w:right w:val="nil"/>
            </w:tcBorders>
            <w:shd w:val="clear" w:color="auto" w:fill="auto"/>
            <w:noWrap/>
            <w:vAlign w:val="bottom"/>
            <w:hideMark/>
          </w:tcPr>
          <w:p w14:paraId="62C30EFF"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Total</w:t>
            </w:r>
          </w:p>
        </w:tc>
        <w:tc>
          <w:tcPr>
            <w:tcW w:w="1649" w:type="dxa"/>
            <w:tcBorders>
              <w:top w:val="single" w:sz="4" w:space="0" w:color="auto"/>
              <w:left w:val="nil"/>
              <w:bottom w:val="single" w:sz="4" w:space="0" w:color="auto"/>
              <w:right w:val="nil"/>
            </w:tcBorders>
            <w:shd w:val="clear" w:color="auto" w:fill="auto"/>
            <w:noWrap/>
            <w:vAlign w:val="bottom"/>
            <w:hideMark/>
          </w:tcPr>
          <w:p w14:paraId="70232CEB"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Varones</w:t>
            </w:r>
          </w:p>
        </w:tc>
        <w:tc>
          <w:tcPr>
            <w:tcW w:w="1240" w:type="dxa"/>
            <w:tcBorders>
              <w:top w:val="single" w:sz="4" w:space="0" w:color="auto"/>
              <w:left w:val="nil"/>
              <w:bottom w:val="single" w:sz="4" w:space="0" w:color="auto"/>
              <w:right w:val="nil"/>
            </w:tcBorders>
            <w:shd w:val="clear" w:color="auto" w:fill="auto"/>
            <w:noWrap/>
            <w:vAlign w:val="bottom"/>
            <w:hideMark/>
          </w:tcPr>
          <w:p w14:paraId="107F1CE0"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 xml:space="preserve">Mujeres </w:t>
            </w:r>
          </w:p>
        </w:tc>
        <w:tc>
          <w:tcPr>
            <w:tcW w:w="1640" w:type="dxa"/>
            <w:tcBorders>
              <w:top w:val="single" w:sz="4" w:space="0" w:color="auto"/>
              <w:left w:val="nil"/>
              <w:bottom w:val="single" w:sz="4" w:space="0" w:color="auto"/>
              <w:right w:val="single" w:sz="4" w:space="0" w:color="auto"/>
            </w:tcBorders>
            <w:shd w:val="clear" w:color="auto" w:fill="auto"/>
            <w:noWrap/>
            <w:vAlign w:val="bottom"/>
            <w:hideMark/>
          </w:tcPr>
          <w:p w14:paraId="77836742"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No Informado</w:t>
            </w:r>
          </w:p>
        </w:tc>
      </w:tr>
      <w:tr w:rsidR="005E18FD" w:rsidRPr="009451FB" w14:paraId="05C82ED7"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07CA283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Relación dependencia</w:t>
            </w:r>
          </w:p>
        </w:tc>
        <w:tc>
          <w:tcPr>
            <w:tcW w:w="1649" w:type="dxa"/>
            <w:tcBorders>
              <w:top w:val="nil"/>
              <w:left w:val="nil"/>
              <w:bottom w:val="nil"/>
              <w:right w:val="nil"/>
            </w:tcBorders>
            <w:shd w:val="clear" w:color="auto" w:fill="auto"/>
            <w:noWrap/>
            <w:vAlign w:val="bottom"/>
            <w:hideMark/>
          </w:tcPr>
          <w:p w14:paraId="717465A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6.464.047,00</w:t>
            </w:r>
          </w:p>
        </w:tc>
        <w:tc>
          <w:tcPr>
            <w:tcW w:w="1649" w:type="dxa"/>
            <w:tcBorders>
              <w:top w:val="nil"/>
              <w:left w:val="nil"/>
              <w:bottom w:val="nil"/>
              <w:right w:val="nil"/>
            </w:tcBorders>
            <w:shd w:val="clear" w:color="auto" w:fill="auto"/>
            <w:noWrap/>
            <w:vAlign w:val="bottom"/>
            <w:hideMark/>
          </w:tcPr>
          <w:p w14:paraId="196C4B3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4.153.271,00</w:t>
            </w:r>
          </w:p>
        </w:tc>
        <w:tc>
          <w:tcPr>
            <w:tcW w:w="1240" w:type="dxa"/>
            <w:tcBorders>
              <w:top w:val="nil"/>
              <w:left w:val="nil"/>
              <w:bottom w:val="nil"/>
              <w:right w:val="nil"/>
            </w:tcBorders>
            <w:shd w:val="clear" w:color="auto" w:fill="auto"/>
            <w:noWrap/>
            <w:vAlign w:val="bottom"/>
            <w:hideMark/>
          </w:tcPr>
          <w:p w14:paraId="6A8EB34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2.309.838,00</w:t>
            </w:r>
          </w:p>
        </w:tc>
        <w:tc>
          <w:tcPr>
            <w:tcW w:w="1640" w:type="dxa"/>
            <w:tcBorders>
              <w:top w:val="nil"/>
              <w:left w:val="nil"/>
              <w:bottom w:val="nil"/>
              <w:right w:val="single" w:sz="4" w:space="0" w:color="auto"/>
            </w:tcBorders>
            <w:shd w:val="clear" w:color="auto" w:fill="auto"/>
            <w:noWrap/>
            <w:vAlign w:val="bottom"/>
            <w:hideMark/>
          </w:tcPr>
          <w:p w14:paraId="7F80A85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938</w:t>
            </w:r>
          </w:p>
        </w:tc>
      </w:tr>
      <w:tr w:rsidR="005E18FD" w:rsidRPr="009451FB" w14:paraId="358A5AA3"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6BB997FD" w14:textId="0A54355F"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Aut</w:t>
            </w:r>
            <w:r w:rsidR="00412A93" w:rsidRPr="009451FB">
              <w:rPr>
                <w:rFonts w:ascii="Arial" w:eastAsia="Times New Roman" w:hAnsi="Arial" w:cs="Arial"/>
                <w:color w:val="000000"/>
                <w:sz w:val="24"/>
                <w:szCs w:val="24"/>
                <w:lang w:eastAsia="es-AR"/>
              </w:rPr>
              <w:t>ó</w:t>
            </w:r>
            <w:r w:rsidRPr="009451FB">
              <w:rPr>
                <w:rFonts w:ascii="Arial" w:eastAsia="Times New Roman" w:hAnsi="Arial" w:cs="Arial"/>
                <w:color w:val="000000"/>
                <w:sz w:val="24"/>
                <w:szCs w:val="24"/>
                <w:lang w:eastAsia="es-AR"/>
              </w:rPr>
              <w:t>nomos</w:t>
            </w:r>
          </w:p>
        </w:tc>
        <w:tc>
          <w:tcPr>
            <w:tcW w:w="139" w:type="dxa"/>
            <w:tcBorders>
              <w:top w:val="nil"/>
              <w:left w:val="nil"/>
              <w:bottom w:val="nil"/>
              <w:right w:val="nil"/>
            </w:tcBorders>
            <w:shd w:val="clear" w:color="auto" w:fill="auto"/>
            <w:noWrap/>
            <w:vAlign w:val="bottom"/>
            <w:hideMark/>
          </w:tcPr>
          <w:p w14:paraId="4A08B35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4AD57A02"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478.058,00</w:t>
            </w:r>
          </w:p>
        </w:tc>
        <w:tc>
          <w:tcPr>
            <w:tcW w:w="1649" w:type="dxa"/>
            <w:tcBorders>
              <w:top w:val="nil"/>
              <w:left w:val="nil"/>
              <w:bottom w:val="nil"/>
              <w:right w:val="nil"/>
            </w:tcBorders>
            <w:shd w:val="clear" w:color="auto" w:fill="auto"/>
            <w:noWrap/>
            <w:vAlign w:val="bottom"/>
            <w:hideMark/>
          </w:tcPr>
          <w:p w14:paraId="7AB6714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351.866,00</w:t>
            </w:r>
          </w:p>
        </w:tc>
        <w:tc>
          <w:tcPr>
            <w:tcW w:w="1240" w:type="dxa"/>
            <w:tcBorders>
              <w:top w:val="nil"/>
              <w:left w:val="nil"/>
              <w:bottom w:val="nil"/>
              <w:right w:val="nil"/>
            </w:tcBorders>
            <w:shd w:val="clear" w:color="auto" w:fill="auto"/>
            <w:noWrap/>
            <w:vAlign w:val="bottom"/>
            <w:hideMark/>
          </w:tcPr>
          <w:p w14:paraId="442550E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126.029,00</w:t>
            </w:r>
          </w:p>
        </w:tc>
        <w:tc>
          <w:tcPr>
            <w:tcW w:w="1640" w:type="dxa"/>
            <w:tcBorders>
              <w:top w:val="nil"/>
              <w:left w:val="nil"/>
              <w:bottom w:val="nil"/>
              <w:right w:val="single" w:sz="4" w:space="0" w:color="auto"/>
            </w:tcBorders>
            <w:shd w:val="clear" w:color="auto" w:fill="auto"/>
            <w:noWrap/>
            <w:vAlign w:val="bottom"/>
            <w:hideMark/>
          </w:tcPr>
          <w:p w14:paraId="669D246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163</w:t>
            </w:r>
          </w:p>
        </w:tc>
      </w:tr>
      <w:tr w:rsidR="005E18FD" w:rsidRPr="009451FB" w14:paraId="098F7E4A"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17C3E32D"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Monotributo</w:t>
            </w:r>
          </w:p>
        </w:tc>
        <w:tc>
          <w:tcPr>
            <w:tcW w:w="1649" w:type="dxa"/>
            <w:tcBorders>
              <w:top w:val="nil"/>
              <w:left w:val="nil"/>
              <w:bottom w:val="nil"/>
              <w:right w:val="nil"/>
            </w:tcBorders>
            <w:shd w:val="clear" w:color="auto" w:fill="auto"/>
            <w:noWrap/>
            <w:vAlign w:val="bottom"/>
            <w:hideMark/>
          </w:tcPr>
          <w:p w14:paraId="50EF0585"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1.871.298,00</w:t>
            </w:r>
          </w:p>
        </w:tc>
        <w:tc>
          <w:tcPr>
            <w:tcW w:w="1649" w:type="dxa"/>
            <w:tcBorders>
              <w:top w:val="nil"/>
              <w:left w:val="nil"/>
              <w:bottom w:val="nil"/>
              <w:right w:val="nil"/>
            </w:tcBorders>
            <w:shd w:val="clear" w:color="auto" w:fill="auto"/>
            <w:noWrap/>
            <w:vAlign w:val="bottom"/>
            <w:hideMark/>
          </w:tcPr>
          <w:p w14:paraId="7CB3A6C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941.825,00</w:t>
            </w:r>
          </w:p>
        </w:tc>
        <w:tc>
          <w:tcPr>
            <w:tcW w:w="1240" w:type="dxa"/>
            <w:tcBorders>
              <w:top w:val="nil"/>
              <w:left w:val="nil"/>
              <w:bottom w:val="nil"/>
              <w:right w:val="nil"/>
            </w:tcBorders>
            <w:shd w:val="clear" w:color="auto" w:fill="auto"/>
            <w:noWrap/>
            <w:vAlign w:val="bottom"/>
            <w:hideMark/>
          </w:tcPr>
          <w:p w14:paraId="13128DA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929.154,00</w:t>
            </w:r>
          </w:p>
        </w:tc>
        <w:tc>
          <w:tcPr>
            <w:tcW w:w="1640" w:type="dxa"/>
            <w:tcBorders>
              <w:top w:val="nil"/>
              <w:left w:val="nil"/>
              <w:bottom w:val="nil"/>
              <w:right w:val="single" w:sz="4" w:space="0" w:color="auto"/>
            </w:tcBorders>
            <w:shd w:val="clear" w:color="auto" w:fill="auto"/>
            <w:noWrap/>
            <w:vAlign w:val="bottom"/>
            <w:hideMark/>
          </w:tcPr>
          <w:p w14:paraId="49D19D6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319</w:t>
            </w:r>
          </w:p>
        </w:tc>
      </w:tr>
      <w:tr w:rsidR="005E18FD" w:rsidRPr="009451FB" w14:paraId="7C01A59E"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60EC8D82"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Casas Particulares</w:t>
            </w:r>
          </w:p>
        </w:tc>
        <w:tc>
          <w:tcPr>
            <w:tcW w:w="1649" w:type="dxa"/>
            <w:tcBorders>
              <w:top w:val="nil"/>
              <w:left w:val="nil"/>
              <w:bottom w:val="nil"/>
              <w:right w:val="nil"/>
            </w:tcBorders>
            <w:shd w:val="clear" w:color="auto" w:fill="auto"/>
            <w:noWrap/>
            <w:vAlign w:val="bottom"/>
            <w:hideMark/>
          </w:tcPr>
          <w:p w14:paraId="6DFDB00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417.670,00</w:t>
            </w:r>
          </w:p>
        </w:tc>
        <w:tc>
          <w:tcPr>
            <w:tcW w:w="1649" w:type="dxa"/>
            <w:tcBorders>
              <w:top w:val="nil"/>
              <w:left w:val="nil"/>
              <w:bottom w:val="nil"/>
              <w:right w:val="nil"/>
            </w:tcBorders>
            <w:shd w:val="clear" w:color="auto" w:fill="auto"/>
            <w:noWrap/>
            <w:vAlign w:val="bottom"/>
            <w:hideMark/>
          </w:tcPr>
          <w:p w14:paraId="3856194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12.172,00</w:t>
            </w:r>
          </w:p>
        </w:tc>
        <w:tc>
          <w:tcPr>
            <w:tcW w:w="1240" w:type="dxa"/>
            <w:tcBorders>
              <w:top w:val="nil"/>
              <w:left w:val="nil"/>
              <w:bottom w:val="nil"/>
              <w:right w:val="nil"/>
            </w:tcBorders>
            <w:shd w:val="clear" w:color="auto" w:fill="auto"/>
            <w:noWrap/>
            <w:vAlign w:val="bottom"/>
            <w:hideMark/>
          </w:tcPr>
          <w:p w14:paraId="5A1405C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405.431,00</w:t>
            </w:r>
          </w:p>
        </w:tc>
        <w:tc>
          <w:tcPr>
            <w:tcW w:w="1640" w:type="dxa"/>
            <w:tcBorders>
              <w:top w:val="nil"/>
              <w:left w:val="nil"/>
              <w:bottom w:val="nil"/>
              <w:right w:val="single" w:sz="4" w:space="0" w:color="auto"/>
            </w:tcBorders>
            <w:shd w:val="clear" w:color="auto" w:fill="auto"/>
            <w:noWrap/>
            <w:vAlign w:val="bottom"/>
            <w:hideMark/>
          </w:tcPr>
          <w:p w14:paraId="4D2E15A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67</w:t>
            </w:r>
          </w:p>
        </w:tc>
      </w:tr>
      <w:tr w:rsidR="005E18FD" w:rsidRPr="009451FB" w14:paraId="51D0E9E5"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663BAB9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Totales</w:t>
            </w:r>
          </w:p>
        </w:tc>
        <w:tc>
          <w:tcPr>
            <w:tcW w:w="139" w:type="dxa"/>
            <w:tcBorders>
              <w:top w:val="nil"/>
              <w:left w:val="nil"/>
              <w:bottom w:val="nil"/>
              <w:right w:val="nil"/>
            </w:tcBorders>
            <w:shd w:val="clear" w:color="auto" w:fill="auto"/>
            <w:noWrap/>
            <w:vAlign w:val="bottom"/>
            <w:hideMark/>
          </w:tcPr>
          <w:p w14:paraId="1A31953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7B3754D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9.231.073,00</w:t>
            </w:r>
          </w:p>
        </w:tc>
        <w:tc>
          <w:tcPr>
            <w:tcW w:w="1649" w:type="dxa"/>
            <w:tcBorders>
              <w:top w:val="nil"/>
              <w:left w:val="nil"/>
              <w:bottom w:val="nil"/>
              <w:right w:val="nil"/>
            </w:tcBorders>
            <w:shd w:val="clear" w:color="auto" w:fill="auto"/>
            <w:noWrap/>
            <w:vAlign w:val="bottom"/>
            <w:hideMark/>
          </w:tcPr>
          <w:p w14:paraId="14BFD7B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5.459.134,00</w:t>
            </w:r>
          </w:p>
        </w:tc>
        <w:tc>
          <w:tcPr>
            <w:tcW w:w="1240" w:type="dxa"/>
            <w:tcBorders>
              <w:top w:val="nil"/>
              <w:left w:val="nil"/>
              <w:bottom w:val="nil"/>
              <w:right w:val="nil"/>
            </w:tcBorders>
            <w:shd w:val="clear" w:color="auto" w:fill="auto"/>
            <w:noWrap/>
            <w:vAlign w:val="bottom"/>
            <w:hideMark/>
          </w:tcPr>
          <w:p w14:paraId="1EC24B5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3.770.452,00</w:t>
            </w:r>
          </w:p>
        </w:tc>
        <w:tc>
          <w:tcPr>
            <w:tcW w:w="1640" w:type="dxa"/>
            <w:tcBorders>
              <w:top w:val="nil"/>
              <w:left w:val="nil"/>
              <w:bottom w:val="nil"/>
              <w:right w:val="single" w:sz="4" w:space="0" w:color="auto"/>
            </w:tcBorders>
            <w:shd w:val="clear" w:color="auto" w:fill="auto"/>
            <w:noWrap/>
            <w:vAlign w:val="bottom"/>
            <w:hideMark/>
          </w:tcPr>
          <w:p w14:paraId="1ED0F843"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1487</w:t>
            </w:r>
          </w:p>
        </w:tc>
      </w:tr>
      <w:tr w:rsidR="005E18FD" w:rsidRPr="009451FB" w14:paraId="77F63DF0"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56A9E1F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39" w:type="dxa"/>
            <w:tcBorders>
              <w:top w:val="nil"/>
              <w:left w:val="nil"/>
              <w:bottom w:val="nil"/>
              <w:right w:val="nil"/>
            </w:tcBorders>
            <w:shd w:val="clear" w:color="auto" w:fill="auto"/>
            <w:noWrap/>
            <w:vAlign w:val="bottom"/>
            <w:hideMark/>
          </w:tcPr>
          <w:p w14:paraId="4E4D95A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1173A707"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nil"/>
              <w:left w:val="nil"/>
              <w:bottom w:val="nil"/>
              <w:right w:val="nil"/>
            </w:tcBorders>
            <w:shd w:val="clear" w:color="auto" w:fill="auto"/>
            <w:noWrap/>
            <w:vAlign w:val="bottom"/>
            <w:hideMark/>
          </w:tcPr>
          <w:p w14:paraId="1CDB6C38"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240" w:type="dxa"/>
            <w:tcBorders>
              <w:top w:val="nil"/>
              <w:left w:val="nil"/>
              <w:bottom w:val="nil"/>
              <w:right w:val="nil"/>
            </w:tcBorders>
            <w:shd w:val="clear" w:color="auto" w:fill="auto"/>
            <w:noWrap/>
            <w:vAlign w:val="bottom"/>
            <w:hideMark/>
          </w:tcPr>
          <w:p w14:paraId="28D36E6C"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0" w:type="dxa"/>
            <w:tcBorders>
              <w:top w:val="nil"/>
              <w:left w:val="nil"/>
              <w:bottom w:val="nil"/>
              <w:right w:val="single" w:sz="4" w:space="0" w:color="auto"/>
            </w:tcBorders>
            <w:shd w:val="clear" w:color="auto" w:fill="auto"/>
            <w:noWrap/>
            <w:vAlign w:val="bottom"/>
            <w:hideMark/>
          </w:tcPr>
          <w:p w14:paraId="523FE30D"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5CB7B87A" w14:textId="77777777" w:rsidTr="005E18FD">
        <w:trPr>
          <w:trHeight w:val="300"/>
        </w:trPr>
        <w:tc>
          <w:tcPr>
            <w:tcW w:w="5293" w:type="dxa"/>
            <w:gridSpan w:val="4"/>
            <w:tcBorders>
              <w:top w:val="nil"/>
              <w:left w:val="single" w:sz="4" w:space="0" w:color="auto"/>
              <w:bottom w:val="nil"/>
              <w:right w:val="nil"/>
            </w:tcBorders>
            <w:shd w:val="clear" w:color="auto" w:fill="auto"/>
            <w:noWrap/>
            <w:vAlign w:val="bottom"/>
            <w:hideMark/>
          </w:tcPr>
          <w:p w14:paraId="3CB326AF"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Porcentaje por Sexo del Contribuyente</w:t>
            </w:r>
          </w:p>
        </w:tc>
        <w:tc>
          <w:tcPr>
            <w:tcW w:w="1240" w:type="dxa"/>
            <w:tcBorders>
              <w:top w:val="nil"/>
              <w:left w:val="nil"/>
              <w:bottom w:val="nil"/>
              <w:right w:val="nil"/>
            </w:tcBorders>
            <w:shd w:val="clear" w:color="auto" w:fill="auto"/>
            <w:noWrap/>
            <w:vAlign w:val="bottom"/>
            <w:hideMark/>
          </w:tcPr>
          <w:p w14:paraId="3FDFE336"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p>
        </w:tc>
        <w:tc>
          <w:tcPr>
            <w:tcW w:w="1640" w:type="dxa"/>
            <w:tcBorders>
              <w:top w:val="nil"/>
              <w:left w:val="nil"/>
              <w:bottom w:val="nil"/>
              <w:right w:val="single" w:sz="4" w:space="0" w:color="auto"/>
            </w:tcBorders>
            <w:shd w:val="clear" w:color="auto" w:fill="auto"/>
            <w:noWrap/>
            <w:vAlign w:val="bottom"/>
            <w:hideMark/>
          </w:tcPr>
          <w:p w14:paraId="0B1C6E1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01EF80D9"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0F2CF78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39" w:type="dxa"/>
            <w:tcBorders>
              <w:top w:val="nil"/>
              <w:left w:val="nil"/>
              <w:bottom w:val="nil"/>
              <w:right w:val="nil"/>
            </w:tcBorders>
            <w:shd w:val="clear" w:color="auto" w:fill="auto"/>
            <w:noWrap/>
            <w:vAlign w:val="bottom"/>
            <w:hideMark/>
          </w:tcPr>
          <w:p w14:paraId="4B212D1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52CBC1E4"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single" w:sz="4" w:space="0" w:color="auto"/>
              <w:left w:val="single" w:sz="4" w:space="0" w:color="auto"/>
              <w:bottom w:val="single" w:sz="4" w:space="0" w:color="auto"/>
              <w:right w:val="nil"/>
            </w:tcBorders>
            <w:shd w:val="clear" w:color="auto" w:fill="auto"/>
            <w:noWrap/>
            <w:vAlign w:val="bottom"/>
            <w:hideMark/>
          </w:tcPr>
          <w:p w14:paraId="6DDA2F4D"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Varones</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14:paraId="66559741"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 xml:space="preserve">Mujeres </w:t>
            </w:r>
          </w:p>
        </w:tc>
        <w:tc>
          <w:tcPr>
            <w:tcW w:w="1640" w:type="dxa"/>
            <w:tcBorders>
              <w:top w:val="nil"/>
              <w:left w:val="nil"/>
              <w:bottom w:val="nil"/>
              <w:right w:val="single" w:sz="4" w:space="0" w:color="auto"/>
            </w:tcBorders>
            <w:shd w:val="clear" w:color="auto" w:fill="auto"/>
            <w:noWrap/>
            <w:vAlign w:val="bottom"/>
            <w:hideMark/>
          </w:tcPr>
          <w:p w14:paraId="7C98833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1ECB5FC3"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5C2EB59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Relación dependencia</w:t>
            </w:r>
          </w:p>
        </w:tc>
        <w:tc>
          <w:tcPr>
            <w:tcW w:w="1649" w:type="dxa"/>
            <w:tcBorders>
              <w:top w:val="nil"/>
              <w:left w:val="nil"/>
              <w:bottom w:val="nil"/>
              <w:right w:val="nil"/>
            </w:tcBorders>
            <w:shd w:val="clear" w:color="auto" w:fill="auto"/>
            <w:noWrap/>
            <w:vAlign w:val="bottom"/>
            <w:hideMark/>
          </w:tcPr>
          <w:p w14:paraId="06FA050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409FC8D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64,25%</w:t>
            </w:r>
          </w:p>
        </w:tc>
        <w:tc>
          <w:tcPr>
            <w:tcW w:w="1240" w:type="dxa"/>
            <w:tcBorders>
              <w:top w:val="nil"/>
              <w:left w:val="nil"/>
              <w:bottom w:val="nil"/>
              <w:right w:val="nil"/>
            </w:tcBorders>
            <w:shd w:val="clear" w:color="auto" w:fill="auto"/>
            <w:noWrap/>
            <w:vAlign w:val="bottom"/>
            <w:hideMark/>
          </w:tcPr>
          <w:p w14:paraId="4CE8BE2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35,73%</w:t>
            </w:r>
          </w:p>
        </w:tc>
        <w:tc>
          <w:tcPr>
            <w:tcW w:w="1640" w:type="dxa"/>
            <w:tcBorders>
              <w:top w:val="nil"/>
              <w:left w:val="nil"/>
              <w:bottom w:val="nil"/>
              <w:right w:val="single" w:sz="4" w:space="0" w:color="auto"/>
            </w:tcBorders>
            <w:shd w:val="clear" w:color="auto" w:fill="auto"/>
            <w:noWrap/>
            <w:vAlign w:val="bottom"/>
            <w:hideMark/>
          </w:tcPr>
          <w:p w14:paraId="17D34359"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1DC461D6"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7B2578AE" w14:textId="4361265A"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Aut</w:t>
            </w:r>
            <w:r w:rsidR="00412A93" w:rsidRPr="009451FB">
              <w:rPr>
                <w:rFonts w:ascii="Arial" w:eastAsia="Times New Roman" w:hAnsi="Arial" w:cs="Arial"/>
                <w:color w:val="000000"/>
                <w:sz w:val="24"/>
                <w:szCs w:val="24"/>
                <w:lang w:eastAsia="es-AR"/>
              </w:rPr>
              <w:t>ó</w:t>
            </w:r>
            <w:r w:rsidRPr="009451FB">
              <w:rPr>
                <w:rFonts w:ascii="Arial" w:eastAsia="Times New Roman" w:hAnsi="Arial" w:cs="Arial"/>
                <w:color w:val="000000"/>
                <w:sz w:val="24"/>
                <w:szCs w:val="24"/>
                <w:lang w:eastAsia="es-AR"/>
              </w:rPr>
              <w:t>nomos</w:t>
            </w:r>
          </w:p>
        </w:tc>
        <w:tc>
          <w:tcPr>
            <w:tcW w:w="139" w:type="dxa"/>
            <w:tcBorders>
              <w:top w:val="nil"/>
              <w:left w:val="nil"/>
              <w:bottom w:val="nil"/>
              <w:right w:val="nil"/>
            </w:tcBorders>
            <w:shd w:val="clear" w:color="auto" w:fill="auto"/>
            <w:noWrap/>
            <w:vAlign w:val="bottom"/>
            <w:hideMark/>
          </w:tcPr>
          <w:p w14:paraId="679397EE"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243874E2"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nil"/>
              <w:left w:val="nil"/>
              <w:bottom w:val="nil"/>
              <w:right w:val="nil"/>
            </w:tcBorders>
            <w:shd w:val="clear" w:color="auto" w:fill="auto"/>
            <w:noWrap/>
            <w:vAlign w:val="bottom"/>
            <w:hideMark/>
          </w:tcPr>
          <w:p w14:paraId="24E8B96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73,60%</w:t>
            </w:r>
          </w:p>
        </w:tc>
        <w:tc>
          <w:tcPr>
            <w:tcW w:w="1240" w:type="dxa"/>
            <w:tcBorders>
              <w:top w:val="nil"/>
              <w:left w:val="nil"/>
              <w:bottom w:val="nil"/>
              <w:right w:val="nil"/>
            </w:tcBorders>
            <w:shd w:val="clear" w:color="auto" w:fill="auto"/>
            <w:noWrap/>
            <w:vAlign w:val="bottom"/>
            <w:hideMark/>
          </w:tcPr>
          <w:p w14:paraId="0F1D59D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26,36%</w:t>
            </w:r>
          </w:p>
        </w:tc>
        <w:tc>
          <w:tcPr>
            <w:tcW w:w="1640" w:type="dxa"/>
            <w:tcBorders>
              <w:top w:val="nil"/>
              <w:left w:val="nil"/>
              <w:bottom w:val="nil"/>
              <w:right w:val="single" w:sz="4" w:space="0" w:color="auto"/>
            </w:tcBorders>
            <w:shd w:val="clear" w:color="auto" w:fill="auto"/>
            <w:noWrap/>
            <w:vAlign w:val="bottom"/>
            <w:hideMark/>
          </w:tcPr>
          <w:p w14:paraId="740C7A7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3D1ADD18"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11EA006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Monotributo</w:t>
            </w:r>
          </w:p>
        </w:tc>
        <w:tc>
          <w:tcPr>
            <w:tcW w:w="1649" w:type="dxa"/>
            <w:tcBorders>
              <w:top w:val="nil"/>
              <w:left w:val="nil"/>
              <w:bottom w:val="nil"/>
              <w:right w:val="nil"/>
            </w:tcBorders>
            <w:shd w:val="clear" w:color="auto" w:fill="auto"/>
            <w:noWrap/>
            <w:vAlign w:val="bottom"/>
            <w:hideMark/>
          </w:tcPr>
          <w:p w14:paraId="591EF31E"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1361B57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50,33%</w:t>
            </w:r>
          </w:p>
        </w:tc>
        <w:tc>
          <w:tcPr>
            <w:tcW w:w="1240" w:type="dxa"/>
            <w:tcBorders>
              <w:top w:val="nil"/>
              <w:left w:val="nil"/>
              <w:bottom w:val="nil"/>
              <w:right w:val="nil"/>
            </w:tcBorders>
            <w:shd w:val="clear" w:color="auto" w:fill="auto"/>
            <w:noWrap/>
            <w:vAlign w:val="bottom"/>
            <w:hideMark/>
          </w:tcPr>
          <w:p w14:paraId="267B81D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49,65%</w:t>
            </w:r>
          </w:p>
        </w:tc>
        <w:tc>
          <w:tcPr>
            <w:tcW w:w="1640" w:type="dxa"/>
            <w:tcBorders>
              <w:top w:val="nil"/>
              <w:left w:val="nil"/>
              <w:bottom w:val="nil"/>
              <w:right w:val="single" w:sz="4" w:space="0" w:color="auto"/>
            </w:tcBorders>
            <w:shd w:val="clear" w:color="auto" w:fill="auto"/>
            <w:noWrap/>
            <w:vAlign w:val="bottom"/>
            <w:hideMark/>
          </w:tcPr>
          <w:p w14:paraId="6B30758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0B4AB3A5"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4AA0BC28"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Casas Particulares</w:t>
            </w:r>
          </w:p>
        </w:tc>
        <w:tc>
          <w:tcPr>
            <w:tcW w:w="1649" w:type="dxa"/>
            <w:tcBorders>
              <w:top w:val="nil"/>
              <w:left w:val="nil"/>
              <w:bottom w:val="nil"/>
              <w:right w:val="nil"/>
            </w:tcBorders>
            <w:shd w:val="clear" w:color="auto" w:fill="auto"/>
            <w:noWrap/>
            <w:vAlign w:val="bottom"/>
            <w:hideMark/>
          </w:tcPr>
          <w:p w14:paraId="135F2D9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4564B24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2,91%</w:t>
            </w:r>
          </w:p>
        </w:tc>
        <w:tc>
          <w:tcPr>
            <w:tcW w:w="1240" w:type="dxa"/>
            <w:tcBorders>
              <w:top w:val="nil"/>
              <w:left w:val="nil"/>
              <w:bottom w:val="nil"/>
              <w:right w:val="nil"/>
            </w:tcBorders>
            <w:shd w:val="clear" w:color="auto" w:fill="auto"/>
            <w:noWrap/>
            <w:vAlign w:val="bottom"/>
            <w:hideMark/>
          </w:tcPr>
          <w:p w14:paraId="43181F0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97,07%</w:t>
            </w:r>
          </w:p>
        </w:tc>
        <w:tc>
          <w:tcPr>
            <w:tcW w:w="1640" w:type="dxa"/>
            <w:tcBorders>
              <w:top w:val="nil"/>
              <w:left w:val="nil"/>
              <w:bottom w:val="nil"/>
              <w:right w:val="single" w:sz="4" w:space="0" w:color="auto"/>
            </w:tcBorders>
            <w:shd w:val="clear" w:color="auto" w:fill="auto"/>
            <w:noWrap/>
            <w:vAlign w:val="bottom"/>
            <w:hideMark/>
          </w:tcPr>
          <w:p w14:paraId="0F6AB26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2C2B041B"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4BDA8A72"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Totales</w:t>
            </w:r>
          </w:p>
        </w:tc>
        <w:tc>
          <w:tcPr>
            <w:tcW w:w="139" w:type="dxa"/>
            <w:tcBorders>
              <w:top w:val="nil"/>
              <w:left w:val="nil"/>
              <w:bottom w:val="nil"/>
              <w:right w:val="nil"/>
            </w:tcBorders>
            <w:shd w:val="clear" w:color="auto" w:fill="auto"/>
            <w:noWrap/>
            <w:vAlign w:val="bottom"/>
            <w:hideMark/>
          </w:tcPr>
          <w:p w14:paraId="19FE188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43FF8FBE"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nil"/>
              <w:left w:val="nil"/>
              <w:bottom w:val="nil"/>
              <w:right w:val="nil"/>
            </w:tcBorders>
            <w:shd w:val="clear" w:color="auto" w:fill="auto"/>
            <w:noWrap/>
            <w:vAlign w:val="bottom"/>
            <w:hideMark/>
          </w:tcPr>
          <w:p w14:paraId="3E3A354E"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59,14%</w:t>
            </w:r>
          </w:p>
        </w:tc>
        <w:tc>
          <w:tcPr>
            <w:tcW w:w="1240" w:type="dxa"/>
            <w:tcBorders>
              <w:top w:val="nil"/>
              <w:left w:val="nil"/>
              <w:bottom w:val="nil"/>
              <w:right w:val="nil"/>
            </w:tcBorders>
            <w:shd w:val="clear" w:color="auto" w:fill="auto"/>
            <w:noWrap/>
            <w:vAlign w:val="bottom"/>
            <w:hideMark/>
          </w:tcPr>
          <w:p w14:paraId="5A1BBD89"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40,85%</w:t>
            </w:r>
          </w:p>
        </w:tc>
        <w:tc>
          <w:tcPr>
            <w:tcW w:w="1640" w:type="dxa"/>
            <w:tcBorders>
              <w:top w:val="nil"/>
              <w:left w:val="nil"/>
              <w:bottom w:val="nil"/>
              <w:right w:val="single" w:sz="4" w:space="0" w:color="auto"/>
            </w:tcBorders>
            <w:shd w:val="clear" w:color="auto" w:fill="auto"/>
            <w:noWrap/>
            <w:vAlign w:val="bottom"/>
            <w:hideMark/>
          </w:tcPr>
          <w:p w14:paraId="7543268E"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4CD68326"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094956A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39" w:type="dxa"/>
            <w:tcBorders>
              <w:top w:val="nil"/>
              <w:left w:val="nil"/>
              <w:bottom w:val="nil"/>
              <w:right w:val="nil"/>
            </w:tcBorders>
            <w:shd w:val="clear" w:color="auto" w:fill="auto"/>
            <w:noWrap/>
            <w:vAlign w:val="bottom"/>
            <w:hideMark/>
          </w:tcPr>
          <w:p w14:paraId="5D8E0C2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2D74F296"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nil"/>
              <w:left w:val="nil"/>
              <w:bottom w:val="nil"/>
              <w:right w:val="nil"/>
            </w:tcBorders>
            <w:shd w:val="clear" w:color="auto" w:fill="auto"/>
            <w:noWrap/>
            <w:vAlign w:val="bottom"/>
            <w:hideMark/>
          </w:tcPr>
          <w:p w14:paraId="7A8B23BA"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240" w:type="dxa"/>
            <w:tcBorders>
              <w:top w:val="nil"/>
              <w:left w:val="nil"/>
              <w:bottom w:val="nil"/>
              <w:right w:val="nil"/>
            </w:tcBorders>
            <w:shd w:val="clear" w:color="auto" w:fill="auto"/>
            <w:noWrap/>
            <w:vAlign w:val="bottom"/>
            <w:hideMark/>
          </w:tcPr>
          <w:p w14:paraId="46E6A276"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0" w:type="dxa"/>
            <w:tcBorders>
              <w:top w:val="nil"/>
              <w:left w:val="nil"/>
              <w:bottom w:val="nil"/>
              <w:right w:val="single" w:sz="4" w:space="0" w:color="auto"/>
            </w:tcBorders>
            <w:shd w:val="clear" w:color="auto" w:fill="auto"/>
            <w:noWrap/>
            <w:vAlign w:val="bottom"/>
            <w:hideMark/>
          </w:tcPr>
          <w:p w14:paraId="18F3678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r w:rsidR="005E18FD" w:rsidRPr="009451FB" w14:paraId="2503C5CF" w14:textId="77777777" w:rsidTr="005E18FD">
        <w:trPr>
          <w:trHeight w:val="300"/>
        </w:trPr>
        <w:tc>
          <w:tcPr>
            <w:tcW w:w="3644" w:type="dxa"/>
            <w:gridSpan w:val="3"/>
            <w:tcBorders>
              <w:top w:val="nil"/>
              <w:left w:val="single" w:sz="4" w:space="0" w:color="auto"/>
              <w:bottom w:val="nil"/>
              <w:right w:val="nil"/>
            </w:tcBorders>
            <w:shd w:val="clear" w:color="auto" w:fill="auto"/>
            <w:noWrap/>
            <w:vAlign w:val="bottom"/>
            <w:hideMark/>
          </w:tcPr>
          <w:p w14:paraId="5C7226FD"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Porcentaje por Tipo de Contribuyente</w:t>
            </w:r>
          </w:p>
        </w:tc>
        <w:tc>
          <w:tcPr>
            <w:tcW w:w="1649" w:type="dxa"/>
            <w:tcBorders>
              <w:top w:val="nil"/>
              <w:left w:val="nil"/>
              <w:bottom w:val="nil"/>
              <w:right w:val="nil"/>
            </w:tcBorders>
            <w:shd w:val="clear" w:color="auto" w:fill="auto"/>
            <w:noWrap/>
            <w:vAlign w:val="bottom"/>
            <w:hideMark/>
          </w:tcPr>
          <w:p w14:paraId="224E9E1D"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Varones</w:t>
            </w:r>
          </w:p>
        </w:tc>
        <w:tc>
          <w:tcPr>
            <w:tcW w:w="1240" w:type="dxa"/>
            <w:tcBorders>
              <w:top w:val="nil"/>
              <w:left w:val="nil"/>
              <w:bottom w:val="nil"/>
              <w:right w:val="nil"/>
            </w:tcBorders>
            <w:shd w:val="clear" w:color="auto" w:fill="auto"/>
            <w:noWrap/>
            <w:vAlign w:val="bottom"/>
            <w:hideMark/>
          </w:tcPr>
          <w:p w14:paraId="3D148F15"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 xml:space="preserve">Mujeres </w:t>
            </w:r>
          </w:p>
        </w:tc>
        <w:tc>
          <w:tcPr>
            <w:tcW w:w="1640" w:type="dxa"/>
            <w:tcBorders>
              <w:top w:val="single" w:sz="4" w:space="0" w:color="auto"/>
              <w:left w:val="single" w:sz="4" w:space="0" w:color="auto"/>
              <w:bottom w:val="nil"/>
              <w:right w:val="single" w:sz="4" w:space="0" w:color="auto"/>
            </w:tcBorders>
            <w:shd w:val="clear" w:color="000000" w:fill="FFFF00"/>
            <w:noWrap/>
            <w:vAlign w:val="bottom"/>
            <w:hideMark/>
          </w:tcPr>
          <w:p w14:paraId="58C1FC95" w14:textId="77777777" w:rsidR="005E18FD" w:rsidRPr="009451FB" w:rsidRDefault="005E18FD" w:rsidP="009451FB">
            <w:pPr>
              <w:spacing w:after="0" w:line="240" w:lineRule="auto"/>
              <w:jc w:val="both"/>
              <w:rPr>
                <w:rFonts w:ascii="Arial" w:eastAsia="Times New Roman" w:hAnsi="Arial" w:cs="Arial"/>
                <w:b/>
                <w:bCs/>
                <w:color w:val="000000"/>
                <w:sz w:val="24"/>
                <w:szCs w:val="24"/>
                <w:lang w:eastAsia="es-AR"/>
              </w:rPr>
            </w:pPr>
            <w:r w:rsidRPr="009451FB">
              <w:rPr>
                <w:rFonts w:ascii="Arial" w:eastAsia="Times New Roman" w:hAnsi="Arial" w:cs="Arial"/>
                <w:b/>
                <w:bCs/>
                <w:color w:val="000000"/>
                <w:sz w:val="24"/>
                <w:szCs w:val="24"/>
                <w:lang w:eastAsia="es-AR"/>
              </w:rPr>
              <w:t>Diferencia</w:t>
            </w:r>
          </w:p>
        </w:tc>
      </w:tr>
      <w:tr w:rsidR="005E18FD" w:rsidRPr="009451FB" w14:paraId="04F049DF"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1CC85C5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Relación dependencia</w:t>
            </w:r>
          </w:p>
        </w:tc>
        <w:tc>
          <w:tcPr>
            <w:tcW w:w="1649" w:type="dxa"/>
            <w:tcBorders>
              <w:top w:val="nil"/>
              <w:left w:val="nil"/>
              <w:bottom w:val="nil"/>
              <w:right w:val="nil"/>
            </w:tcBorders>
            <w:shd w:val="clear" w:color="auto" w:fill="auto"/>
            <w:noWrap/>
            <w:vAlign w:val="bottom"/>
            <w:hideMark/>
          </w:tcPr>
          <w:p w14:paraId="4D8B035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690B1D7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76,08%</w:t>
            </w:r>
          </w:p>
        </w:tc>
        <w:tc>
          <w:tcPr>
            <w:tcW w:w="1240" w:type="dxa"/>
            <w:tcBorders>
              <w:top w:val="nil"/>
              <w:left w:val="nil"/>
              <w:bottom w:val="nil"/>
              <w:right w:val="nil"/>
            </w:tcBorders>
            <w:shd w:val="clear" w:color="auto" w:fill="auto"/>
            <w:noWrap/>
            <w:vAlign w:val="bottom"/>
            <w:hideMark/>
          </w:tcPr>
          <w:p w14:paraId="6A76D677"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61,26%</w:t>
            </w:r>
          </w:p>
        </w:tc>
        <w:tc>
          <w:tcPr>
            <w:tcW w:w="1640" w:type="dxa"/>
            <w:tcBorders>
              <w:top w:val="nil"/>
              <w:left w:val="single" w:sz="4" w:space="0" w:color="auto"/>
              <w:bottom w:val="nil"/>
              <w:right w:val="single" w:sz="4" w:space="0" w:color="auto"/>
            </w:tcBorders>
            <w:shd w:val="clear" w:color="000000" w:fill="FFFF00"/>
            <w:noWrap/>
            <w:vAlign w:val="bottom"/>
            <w:hideMark/>
          </w:tcPr>
          <w:p w14:paraId="6C0E8AD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14,82%</w:t>
            </w:r>
          </w:p>
        </w:tc>
      </w:tr>
      <w:tr w:rsidR="005E18FD" w:rsidRPr="009451FB" w14:paraId="6B8E8A81" w14:textId="77777777" w:rsidTr="005E18FD">
        <w:trPr>
          <w:trHeight w:val="300"/>
        </w:trPr>
        <w:tc>
          <w:tcPr>
            <w:tcW w:w="1856" w:type="dxa"/>
            <w:tcBorders>
              <w:top w:val="nil"/>
              <w:left w:val="single" w:sz="4" w:space="0" w:color="auto"/>
              <w:bottom w:val="nil"/>
              <w:right w:val="nil"/>
            </w:tcBorders>
            <w:shd w:val="clear" w:color="auto" w:fill="auto"/>
            <w:noWrap/>
            <w:vAlign w:val="bottom"/>
            <w:hideMark/>
          </w:tcPr>
          <w:p w14:paraId="114EB0AE" w14:textId="5815FE91"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Aut</w:t>
            </w:r>
            <w:r w:rsidR="00412A93" w:rsidRPr="009451FB">
              <w:rPr>
                <w:rFonts w:ascii="Arial" w:eastAsia="Times New Roman" w:hAnsi="Arial" w:cs="Arial"/>
                <w:color w:val="000000"/>
                <w:sz w:val="24"/>
                <w:szCs w:val="24"/>
                <w:lang w:eastAsia="es-AR"/>
              </w:rPr>
              <w:t>ó</w:t>
            </w:r>
            <w:r w:rsidRPr="009451FB">
              <w:rPr>
                <w:rFonts w:ascii="Arial" w:eastAsia="Times New Roman" w:hAnsi="Arial" w:cs="Arial"/>
                <w:color w:val="000000"/>
                <w:sz w:val="24"/>
                <w:szCs w:val="24"/>
                <w:lang w:eastAsia="es-AR"/>
              </w:rPr>
              <w:t>nomos</w:t>
            </w:r>
          </w:p>
        </w:tc>
        <w:tc>
          <w:tcPr>
            <w:tcW w:w="139" w:type="dxa"/>
            <w:tcBorders>
              <w:top w:val="nil"/>
              <w:left w:val="nil"/>
              <w:bottom w:val="nil"/>
              <w:right w:val="nil"/>
            </w:tcBorders>
            <w:shd w:val="clear" w:color="auto" w:fill="auto"/>
            <w:noWrap/>
            <w:vAlign w:val="bottom"/>
            <w:hideMark/>
          </w:tcPr>
          <w:p w14:paraId="12DCAD53"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36F1FFC7" w14:textId="77777777" w:rsidR="005E18FD" w:rsidRPr="009451FB" w:rsidRDefault="005E18FD" w:rsidP="009451FB">
            <w:pPr>
              <w:spacing w:after="0" w:line="240" w:lineRule="auto"/>
              <w:jc w:val="both"/>
              <w:rPr>
                <w:rFonts w:ascii="Arial" w:eastAsia="Times New Roman" w:hAnsi="Arial" w:cs="Arial"/>
                <w:sz w:val="24"/>
                <w:szCs w:val="24"/>
                <w:lang w:eastAsia="es-AR"/>
              </w:rPr>
            </w:pPr>
          </w:p>
        </w:tc>
        <w:tc>
          <w:tcPr>
            <w:tcW w:w="1649" w:type="dxa"/>
            <w:tcBorders>
              <w:top w:val="nil"/>
              <w:left w:val="nil"/>
              <w:bottom w:val="nil"/>
              <w:right w:val="nil"/>
            </w:tcBorders>
            <w:shd w:val="clear" w:color="auto" w:fill="auto"/>
            <w:noWrap/>
            <w:vAlign w:val="bottom"/>
            <w:hideMark/>
          </w:tcPr>
          <w:p w14:paraId="7CEE38B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6,45%</w:t>
            </w:r>
          </w:p>
        </w:tc>
        <w:tc>
          <w:tcPr>
            <w:tcW w:w="1240" w:type="dxa"/>
            <w:tcBorders>
              <w:top w:val="nil"/>
              <w:left w:val="nil"/>
              <w:bottom w:val="nil"/>
              <w:right w:val="nil"/>
            </w:tcBorders>
            <w:shd w:val="clear" w:color="auto" w:fill="auto"/>
            <w:noWrap/>
            <w:vAlign w:val="bottom"/>
            <w:hideMark/>
          </w:tcPr>
          <w:p w14:paraId="5A0323B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3,34%</w:t>
            </w:r>
          </w:p>
        </w:tc>
        <w:tc>
          <w:tcPr>
            <w:tcW w:w="1640" w:type="dxa"/>
            <w:tcBorders>
              <w:top w:val="nil"/>
              <w:left w:val="single" w:sz="4" w:space="0" w:color="auto"/>
              <w:bottom w:val="nil"/>
              <w:right w:val="single" w:sz="4" w:space="0" w:color="auto"/>
            </w:tcBorders>
            <w:shd w:val="clear" w:color="000000" w:fill="FFFF00"/>
            <w:noWrap/>
            <w:vAlign w:val="bottom"/>
            <w:hideMark/>
          </w:tcPr>
          <w:p w14:paraId="457D1B56"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3,10%</w:t>
            </w:r>
          </w:p>
        </w:tc>
      </w:tr>
      <w:tr w:rsidR="005E18FD" w:rsidRPr="009451FB" w14:paraId="6F68BA4A"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56647604"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Monotributo</w:t>
            </w:r>
          </w:p>
        </w:tc>
        <w:tc>
          <w:tcPr>
            <w:tcW w:w="1649" w:type="dxa"/>
            <w:tcBorders>
              <w:top w:val="nil"/>
              <w:left w:val="nil"/>
              <w:bottom w:val="nil"/>
              <w:right w:val="nil"/>
            </w:tcBorders>
            <w:shd w:val="clear" w:color="auto" w:fill="auto"/>
            <w:noWrap/>
            <w:vAlign w:val="bottom"/>
            <w:hideMark/>
          </w:tcPr>
          <w:p w14:paraId="67105AB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7975AB9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17,25%</w:t>
            </w:r>
          </w:p>
        </w:tc>
        <w:tc>
          <w:tcPr>
            <w:tcW w:w="1240" w:type="dxa"/>
            <w:tcBorders>
              <w:top w:val="nil"/>
              <w:left w:val="nil"/>
              <w:bottom w:val="nil"/>
              <w:right w:val="nil"/>
            </w:tcBorders>
            <w:shd w:val="clear" w:color="auto" w:fill="auto"/>
            <w:noWrap/>
            <w:vAlign w:val="bottom"/>
            <w:hideMark/>
          </w:tcPr>
          <w:p w14:paraId="3245DDF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24,64%</w:t>
            </w:r>
          </w:p>
        </w:tc>
        <w:tc>
          <w:tcPr>
            <w:tcW w:w="1640" w:type="dxa"/>
            <w:tcBorders>
              <w:top w:val="nil"/>
              <w:left w:val="single" w:sz="4" w:space="0" w:color="auto"/>
              <w:bottom w:val="nil"/>
              <w:right w:val="single" w:sz="4" w:space="0" w:color="auto"/>
            </w:tcBorders>
            <w:shd w:val="clear" w:color="000000" w:fill="FFFF00"/>
            <w:noWrap/>
            <w:vAlign w:val="bottom"/>
            <w:hideMark/>
          </w:tcPr>
          <w:p w14:paraId="3D61E3B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-7,39%</w:t>
            </w:r>
          </w:p>
        </w:tc>
      </w:tr>
      <w:tr w:rsidR="005E18FD" w:rsidRPr="009451FB" w14:paraId="1E00068A" w14:textId="77777777" w:rsidTr="005E18FD">
        <w:trPr>
          <w:trHeight w:val="300"/>
        </w:trPr>
        <w:tc>
          <w:tcPr>
            <w:tcW w:w="1995" w:type="dxa"/>
            <w:gridSpan w:val="2"/>
            <w:tcBorders>
              <w:top w:val="nil"/>
              <w:left w:val="single" w:sz="4" w:space="0" w:color="auto"/>
              <w:bottom w:val="nil"/>
              <w:right w:val="nil"/>
            </w:tcBorders>
            <w:shd w:val="clear" w:color="auto" w:fill="auto"/>
            <w:noWrap/>
            <w:vAlign w:val="bottom"/>
            <w:hideMark/>
          </w:tcPr>
          <w:p w14:paraId="1FBFA38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Casas Particulares</w:t>
            </w:r>
          </w:p>
        </w:tc>
        <w:tc>
          <w:tcPr>
            <w:tcW w:w="1649" w:type="dxa"/>
            <w:tcBorders>
              <w:top w:val="nil"/>
              <w:left w:val="nil"/>
              <w:bottom w:val="nil"/>
              <w:right w:val="nil"/>
            </w:tcBorders>
            <w:shd w:val="clear" w:color="auto" w:fill="auto"/>
            <w:noWrap/>
            <w:vAlign w:val="bottom"/>
            <w:hideMark/>
          </w:tcPr>
          <w:p w14:paraId="15F1CC50"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p>
        </w:tc>
        <w:tc>
          <w:tcPr>
            <w:tcW w:w="1649" w:type="dxa"/>
            <w:tcBorders>
              <w:top w:val="nil"/>
              <w:left w:val="nil"/>
              <w:bottom w:val="nil"/>
              <w:right w:val="nil"/>
            </w:tcBorders>
            <w:shd w:val="clear" w:color="auto" w:fill="auto"/>
            <w:noWrap/>
            <w:vAlign w:val="bottom"/>
            <w:hideMark/>
          </w:tcPr>
          <w:p w14:paraId="7837D11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0,22%</w:t>
            </w:r>
          </w:p>
        </w:tc>
        <w:tc>
          <w:tcPr>
            <w:tcW w:w="1240" w:type="dxa"/>
            <w:tcBorders>
              <w:top w:val="nil"/>
              <w:left w:val="nil"/>
              <w:bottom w:val="nil"/>
              <w:right w:val="nil"/>
            </w:tcBorders>
            <w:shd w:val="clear" w:color="auto" w:fill="auto"/>
            <w:noWrap/>
            <w:vAlign w:val="bottom"/>
            <w:hideMark/>
          </w:tcPr>
          <w:p w14:paraId="105DF3EB"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10,75%</w:t>
            </w:r>
          </w:p>
        </w:tc>
        <w:tc>
          <w:tcPr>
            <w:tcW w:w="1640" w:type="dxa"/>
            <w:tcBorders>
              <w:top w:val="nil"/>
              <w:left w:val="single" w:sz="4" w:space="0" w:color="auto"/>
              <w:bottom w:val="single" w:sz="4" w:space="0" w:color="auto"/>
              <w:right w:val="single" w:sz="4" w:space="0" w:color="auto"/>
            </w:tcBorders>
            <w:shd w:val="clear" w:color="000000" w:fill="FFFF00"/>
            <w:noWrap/>
            <w:vAlign w:val="bottom"/>
            <w:hideMark/>
          </w:tcPr>
          <w:p w14:paraId="7F6342A1"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-10,53%</w:t>
            </w:r>
          </w:p>
        </w:tc>
      </w:tr>
      <w:tr w:rsidR="005E18FD" w:rsidRPr="009451FB" w14:paraId="14E9B6EA" w14:textId="77777777" w:rsidTr="005E18FD">
        <w:trPr>
          <w:trHeight w:val="300"/>
        </w:trPr>
        <w:tc>
          <w:tcPr>
            <w:tcW w:w="1856" w:type="dxa"/>
            <w:tcBorders>
              <w:top w:val="nil"/>
              <w:left w:val="single" w:sz="4" w:space="0" w:color="auto"/>
              <w:bottom w:val="single" w:sz="4" w:space="0" w:color="auto"/>
              <w:right w:val="nil"/>
            </w:tcBorders>
            <w:shd w:val="clear" w:color="auto" w:fill="auto"/>
            <w:noWrap/>
            <w:vAlign w:val="bottom"/>
            <w:hideMark/>
          </w:tcPr>
          <w:p w14:paraId="02078CEA"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Totales</w:t>
            </w:r>
          </w:p>
        </w:tc>
        <w:tc>
          <w:tcPr>
            <w:tcW w:w="139" w:type="dxa"/>
            <w:tcBorders>
              <w:top w:val="nil"/>
              <w:left w:val="nil"/>
              <w:bottom w:val="single" w:sz="4" w:space="0" w:color="auto"/>
              <w:right w:val="nil"/>
            </w:tcBorders>
            <w:shd w:val="clear" w:color="auto" w:fill="auto"/>
            <w:noWrap/>
            <w:vAlign w:val="bottom"/>
            <w:hideMark/>
          </w:tcPr>
          <w:p w14:paraId="76B5A9FF"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649" w:type="dxa"/>
            <w:tcBorders>
              <w:top w:val="nil"/>
              <w:left w:val="nil"/>
              <w:bottom w:val="single" w:sz="4" w:space="0" w:color="auto"/>
              <w:right w:val="nil"/>
            </w:tcBorders>
            <w:shd w:val="clear" w:color="auto" w:fill="auto"/>
            <w:noWrap/>
            <w:vAlign w:val="bottom"/>
            <w:hideMark/>
          </w:tcPr>
          <w:p w14:paraId="3247964C"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c>
          <w:tcPr>
            <w:tcW w:w="1649" w:type="dxa"/>
            <w:tcBorders>
              <w:top w:val="nil"/>
              <w:left w:val="nil"/>
              <w:bottom w:val="single" w:sz="4" w:space="0" w:color="auto"/>
              <w:right w:val="nil"/>
            </w:tcBorders>
            <w:shd w:val="clear" w:color="auto" w:fill="auto"/>
            <w:noWrap/>
            <w:vAlign w:val="bottom"/>
            <w:hideMark/>
          </w:tcPr>
          <w:p w14:paraId="7F5DB959"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100,00%</w:t>
            </w:r>
          </w:p>
        </w:tc>
        <w:tc>
          <w:tcPr>
            <w:tcW w:w="1240" w:type="dxa"/>
            <w:tcBorders>
              <w:top w:val="nil"/>
              <w:left w:val="nil"/>
              <w:bottom w:val="single" w:sz="4" w:space="0" w:color="auto"/>
              <w:right w:val="nil"/>
            </w:tcBorders>
            <w:shd w:val="clear" w:color="auto" w:fill="auto"/>
            <w:noWrap/>
            <w:vAlign w:val="bottom"/>
            <w:hideMark/>
          </w:tcPr>
          <w:p w14:paraId="499C8012"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100,00%</w:t>
            </w:r>
          </w:p>
        </w:tc>
        <w:tc>
          <w:tcPr>
            <w:tcW w:w="1640" w:type="dxa"/>
            <w:tcBorders>
              <w:top w:val="nil"/>
              <w:left w:val="nil"/>
              <w:bottom w:val="single" w:sz="4" w:space="0" w:color="auto"/>
              <w:right w:val="single" w:sz="4" w:space="0" w:color="auto"/>
            </w:tcBorders>
            <w:shd w:val="clear" w:color="auto" w:fill="auto"/>
            <w:noWrap/>
            <w:vAlign w:val="bottom"/>
            <w:hideMark/>
          </w:tcPr>
          <w:p w14:paraId="13EA0C62" w14:textId="77777777" w:rsidR="005E18FD" w:rsidRPr="009451FB" w:rsidRDefault="005E18FD" w:rsidP="009451FB">
            <w:pPr>
              <w:spacing w:after="0" w:line="240" w:lineRule="auto"/>
              <w:jc w:val="both"/>
              <w:rPr>
                <w:rFonts w:ascii="Arial" w:eastAsia="Times New Roman" w:hAnsi="Arial" w:cs="Arial"/>
                <w:color w:val="000000"/>
                <w:sz w:val="24"/>
                <w:szCs w:val="24"/>
                <w:lang w:eastAsia="es-AR"/>
              </w:rPr>
            </w:pPr>
            <w:r w:rsidRPr="009451FB">
              <w:rPr>
                <w:rFonts w:ascii="Arial" w:eastAsia="Times New Roman" w:hAnsi="Arial" w:cs="Arial"/>
                <w:color w:val="000000"/>
                <w:sz w:val="24"/>
                <w:szCs w:val="24"/>
                <w:lang w:eastAsia="es-AR"/>
              </w:rPr>
              <w:t> </w:t>
            </w:r>
          </w:p>
        </w:tc>
      </w:tr>
    </w:tbl>
    <w:p w14:paraId="0989A5AF" w14:textId="11E9BE91" w:rsidR="005E18FD" w:rsidRPr="009451FB" w:rsidRDefault="005E18FD" w:rsidP="009451FB">
      <w:pPr>
        <w:spacing w:line="240" w:lineRule="auto"/>
        <w:ind w:left="360"/>
        <w:jc w:val="both"/>
        <w:rPr>
          <w:rFonts w:ascii="Arial" w:hAnsi="Arial" w:cs="Arial"/>
          <w:sz w:val="24"/>
          <w:szCs w:val="24"/>
        </w:rPr>
      </w:pPr>
    </w:p>
    <w:p w14:paraId="0628F61E" w14:textId="5FD77C78" w:rsidR="00B107CA" w:rsidRPr="009451FB" w:rsidRDefault="00412A93" w:rsidP="009451FB">
      <w:pPr>
        <w:pStyle w:val="Textoindependiente"/>
        <w:rPr>
          <w:rFonts w:ascii="Arial" w:hAnsi="Arial" w:cs="Arial"/>
          <w:b/>
          <w:sz w:val="24"/>
          <w:szCs w:val="24"/>
        </w:rPr>
      </w:pPr>
      <w:bookmarkStart w:id="6" w:name="_Hlk54270665"/>
      <w:r w:rsidRPr="009451FB">
        <w:rPr>
          <w:rFonts w:ascii="Arial" w:hAnsi="Arial" w:cs="Arial"/>
          <w:b/>
          <w:sz w:val="24"/>
          <w:szCs w:val="24"/>
        </w:rPr>
        <w:t xml:space="preserve">4.2 </w:t>
      </w:r>
      <w:r w:rsidR="00B107CA" w:rsidRPr="009451FB">
        <w:rPr>
          <w:rFonts w:ascii="Arial" w:hAnsi="Arial" w:cs="Arial"/>
          <w:b/>
          <w:sz w:val="24"/>
          <w:szCs w:val="24"/>
        </w:rPr>
        <w:t xml:space="preserve">Los Impuestos como herramienta para la equidad de género </w:t>
      </w:r>
    </w:p>
    <w:bookmarkEnd w:id="6"/>
    <w:p w14:paraId="6C769B89" w14:textId="77777777" w:rsidR="00B107CA" w:rsidRPr="009451FB" w:rsidRDefault="00B107CA" w:rsidP="009451FB">
      <w:pPr>
        <w:spacing w:line="240" w:lineRule="auto"/>
        <w:jc w:val="both"/>
        <w:rPr>
          <w:rFonts w:ascii="Arial" w:hAnsi="Arial" w:cs="Arial"/>
          <w:sz w:val="24"/>
          <w:szCs w:val="24"/>
        </w:rPr>
      </w:pPr>
    </w:p>
    <w:p w14:paraId="1D39D148" w14:textId="77777777" w:rsidR="00B107CA" w:rsidRPr="009451FB" w:rsidRDefault="00B107CA" w:rsidP="009451FB">
      <w:pPr>
        <w:pStyle w:val="Textoindependiente"/>
        <w:spacing w:before="120"/>
        <w:ind w:left="221" w:right="590"/>
        <w:rPr>
          <w:rFonts w:ascii="Arial" w:hAnsi="Arial" w:cs="Arial"/>
          <w:sz w:val="24"/>
          <w:szCs w:val="24"/>
        </w:rPr>
      </w:pPr>
      <w:r w:rsidRPr="009451FB">
        <w:rPr>
          <w:rFonts w:ascii="Arial" w:hAnsi="Arial" w:cs="Arial"/>
          <w:sz w:val="24"/>
          <w:szCs w:val="24"/>
        </w:rPr>
        <w:t xml:space="preserve">La política fiscal del Estado afecta a los miembros de la comunidad de </w:t>
      </w:r>
      <w:r w:rsidRPr="009451FB">
        <w:rPr>
          <w:rFonts w:ascii="Arial" w:hAnsi="Arial" w:cs="Arial"/>
          <w:sz w:val="24"/>
          <w:szCs w:val="24"/>
        </w:rPr>
        <w:lastRenderedPageBreak/>
        <w:t>formas diversas, directa e indirectamente. Tanto en su vertiente de ingresos como de gastos, las políticas presupuestarias intervienen en la distribución de la riqueza y el ingreso resultantes del funcionamiento del sistema económico. Asimismo, este tipo de intervenciones del Estado afectan las decisiones de las personas respecto a diversos órdenes de la vida, y modelan por lo tanto, los comportamientos de los grupos sociales sobre los que actúan.</w:t>
      </w:r>
    </w:p>
    <w:p w14:paraId="4E1E6A08" w14:textId="77777777" w:rsidR="00B107CA" w:rsidRPr="009451FB" w:rsidRDefault="00B107CA" w:rsidP="009451FB">
      <w:pPr>
        <w:pStyle w:val="Textoindependiente"/>
        <w:spacing w:before="120"/>
        <w:ind w:left="221" w:right="594"/>
        <w:rPr>
          <w:rFonts w:ascii="Arial" w:hAnsi="Arial" w:cs="Arial"/>
          <w:sz w:val="24"/>
          <w:szCs w:val="24"/>
        </w:rPr>
      </w:pPr>
      <w:r w:rsidRPr="009451FB">
        <w:rPr>
          <w:rFonts w:ascii="Arial" w:hAnsi="Arial" w:cs="Arial"/>
          <w:sz w:val="24"/>
          <w:szCs w:val="24"/>
        </w:rPr>
        <w:t>Como toda política económica, las acciones en materia de gastos e ingresos públicos tienen implicancias diferenciadas para varones y mujeres. Abordar la política fiscal desde  la perspectiva de género, implica revelar estas implicancias y brindar elementos que permitan evaluar con mayor certeza el impacto de las políticas fiscales existentes, así como prever correctamente las consecuencias de cambios y</w:t>
      </w:r>
      <w:r w:rsidRPr="009451FB">
        <w:rPr>
          <w:rFonts w:ascii="Arial" w:hAnsi="Arial" w:cs="Arial"/>
          <w:spacing w:val="-3"/>
          <w:sz w:val="24"/>
          <w:szCs w:val="24"/>
        </w:rPr>
        <w:t xml:space="preserve"> </w:t>
      </w:r>
      <w:r w:rsidRPr="009451FB">
        <w:rPr>
          <w:rFonts w:ascii="Arial" w:hAnsi="Arial" w:cs="Arial"/>
          <w:sz w:val="24"/>
          <w:szCs w:val="24"/>
        </w:rPr>
        <w:t>reformas</w:t>
      </w:r>
      <w:r w:rsidRPr="009451FB">
        <w:rPr>
          <w:rFonts w:ascii="Arial" w:hAnsi="Arial" w:cs="Arial"/>
          <w:position w:val="5"/>
          <w:sz w:val="24"/>
          <w:szCs w:val="24"/>
        </w:rPr>
        <w:t>.</w:t>
      </w:r>
    </w:p>
    <w:p w14:paraId="7FD69B8E" w14:textId="77777777" w:rsidR="00B107CA" w:rsidRPr="009451FB" w:rsidRDefault="00B107CA" w:rsidP="009451FB">
      <w:pPr>
        <w:pStyle w:val="Textoindependiente"/>
        <w:spacing w:before="120"/>
        <w:ind w:left="221" w:right="591" w:hanging="1"/>
        <w:rPr>
          <w:rFonts w:ascii="Arial" w:hAnsi="Arial" w:cs="Arial"/>
          <w:sz w:val="24"/>
          <w:szCs w:val="24"/>
        </w:rPr>
      </w:pPr>
      <w:r w:rsidRPr="009451FB">
        <w:rPr>
          <w:rFonts w:ascii="Arial" w:hAnsi="Arial" w:cs="Arial"/>
          <w:sz w:val="24"/>
          <w:szCs w:val="24"/>
        </w:rPr>
        <w:t>Existen abundantes antecedentes que dan cuenta de la trayectoria del análisis de género de la política de gasto público. Por el contrario, el abordaje de la política tributaria desde esta perspectiva es mucho más incipiente. Justamente es aquí donde este trabajo se pretende como contribución.</w:t>
      </w:r>
    </w:p>
    <w:p w14:paraId="671A90F1" w14:textId="77777777" w:rsidR="00B107CA" w:rsidRPr="009451FB" w:rsidRDefault="00B107CA" w:rsidP="009451FB">
      <w:pPr>
        <w:pStyle w:val="Textoindependiente"/>
        <w:spacing w:before="91"/>
        <w:ind w:left="221" w:right="596"/>
        <w:rPr>
          <w:rFonts w:ascii="Arial" w:hAnsi="Arial" w:cs="Arial"/>
          <w:sz w:val="24"/>
          <w:szCs w:val="24"/>
        </w:rPr>
      </w:pPr>
      <w:r w:rsidRPr="009451FB">
        <w:rPr>
          <w:rFonts w:ascii="Arial" w:hAnsi="Arial" w:cs="Arial"/>
          <w:sz w:val="24"/>
          <w:szCs w:val="24"/>
        </w:rPr>
        <w:t>La investigación que se presenta en este documento se concentra en el análisis del impuesto a las ganancias sobre personas físicas vigente en Argentina, desde una perspectiva de género. La pregunta fundamental que se busca responder es qué elementos de la tributación a los ingresos de las personas refuerzan los roles tradicionales de</w:t>
      </w:r>
      <w:r w:rsidRPr="009451FB">
        <w:rPr>
          <w:rFonts w:ascii="Arial" w:hAnsi="Arial" w:cs="Arial"/>
          <w:spacing w:val="17"/>
          <w:sz w:val="24"/>
          <w:szCs w:val="24"/>
        </w:rPr>
        <w:t xml:space="preserve"> </w:t>
      </w:r>
      <w:r w:rsidRPr="009451FB">
        <w:rPr>
          <w:rFonts w:ascii="Arial" w:hAnsi="Arial" w:cs="Arial"/>
          <w:sz w:val="24"/>
          <w:szCs w:val="24"/>
        </w:rPr>
        <w:t>género</w:t>
      </w:r>
      <w:r w:rsidRPr="009451FB">
        <w:rPr>
          <w:rFonts w:ascii="Arial" w:hAnsi="Arial" w:cs="Arial"/>
          <w:spacing w:val="19"/>
          <w:sz w:val="24"/>
          <w:szCs w:val="24"/>
        </w:rPr>
        <w:t xml:space="preserve"> </w:t>
      </w:r>
      <w:r w:rsidRPr="009451FB">
        <w:rPr>
          <w:rFonts w:ascii="Arial" w:hAnsi="Arial" w:cs="Arial"/>
          <w:sz w:val="24"/>
          <w:szCs w:val="24"/>
        </w:rPr>
        <w:t>en</w:t>
      </w:r>
      <w:r w:rsidRPr="009451FB">
        <w:rPr>
          <w:rFonts w:ascii="Arial" w:hAnsi="Arial" w:cs="Arial"/>
          <w:spacing w:val="17"/>
          <w:sz w:val="24"/>
          <w:szCs w:val="24"/>
        </w:rPr>
        <w:t xml:space="preserve"> </w:t>
      </w:r>
      <w:r w:rsidRPr="009451FB">
        <w:rPr>
          <w:rFonts w:ascii="Arial" w:hAnsi="Arial" w:cs="Arial"/>
          <w:sz w:val="24"/>
          <w:szCs w:val="24"/>
        </w:rPr>
        <w:t>la</w:t>
      </w:r>
      <w:r w:rsidRPr="009451FB">
        <w:rPr>
          <w:rFonts w:ascii="Arial" w:hAnsi="Arial" w:cs="Arial"/>
          <w:spacing w:val="18"/>
          <w:sz w:val="24"/>
          <w:szCs w:val="24"/>
        </w:rPr>
        <w:t xml:space="preserve"> </w:t>
      </w:r>
      <w:r w:rsidRPr="009451FB">
        <w:rPr>
          <w:rFonts w:ascii="Arial" w:hAnsi="Arial" w:cs="Arial"/>
          <w:sz w:val="24"/>
          <w:szCs w:val="24"/>
        </w:rPr>
        <w:t>sociedad</w:t>
      </w:r>
      <w:r w:rsidRPr="009451FB">
        <w:rPr>
          <w:rFonts w:ascii="Arial" w:hAnsi="Arial" w:cs="Arial"/>
          <w:spacing w:val="17"/>
          <w:sz w:val="24"/>
          <w:szCs w:val="24"/>
        </w:rPr>
        <w:t xml:space="preserve"> </w:t>
      </w:r>
      <w:r w:rsidRPr="009451FB">
        <w:rPr>
          <w:rFonts w:ascii="Arial" w:hAnsi="Arial" w:cs="Arial"/>
          <w:sz w:val="24"/>
          <w:szCs w:val="24"/>
        </w:rPr>
        <w:t>y</w:t>
      </w:r>
      <w:r w:rsidRPr="009451FB">
        <w:rPr>
          <w:rFonts w:ascii="Arial" w:hAnsi="Arial" w:cs="Arial"/>
          <w:spacing w:val="18"/>
          <w:sz w:val="24"/>
          <w:szCs w:val="24"/>
        </w:rPr>
        <w:t xml:space="preserve"> </w:t>
      </w:r>
      <w:r w:rsidRPr="009451FB">
        <w:rPr>
          <w:rFonts w:ascii="Arial" w:hAnsi="Arial" w:cs="Arial"/>
          <w:sz w:val="24"/>
          <w:szCs w:val="24"/>
        </w:rPr>
        <w:t>la</w:t>
      </w:r>
      <w:r w:rsidRPr="009451FB">
        <w:rPr>
          <w:rFonts w:ascii="Arial" w:hAnsi="Arial" w:cs="Arial"/>
          <w:spacing w:val="18"/>
          <w:sz w:val="24"/>
          <w:szCs w:val="24"/>
        </w:rPr>
        <w:t xml:space="preserve"> </w:t>
      </w:r>
      <w:r w:rsidRPr="009451FB">
        <w:rPr>
          <w:rFonts w:ascii="Arial" w:hAnsi="Arial" w:cs="Arial"/>
          <w:sz w:val="24"/>
          <w:szCs w:val="24"/>
        </w:rPr>
        <w:t>inequidad</w:t>
      </w:r>
      <w:r w:rsidRPr="009451FB">
        <w:rPr>
          <w:rFonts w:ascii="Arial" w:hAnsi="Arial" w:cs="Arial"/>
          <w:spacing w:val="18"/>
          <w:sz w:val="24"/>
          <w:szCs w:val="24"/>
        </w:rPr>
        <w:t xml:space="preserve"> </w:t>
      </w:r>
      <w:r w:rsidRPr="009451FB">
        <w:rPr>
          <w:rFonts w:ascii="Arial" w:hAnsi="Arial" w:cs="Arial"/>
          <w:sz w:val="24"/>
          <w:szCs w:val="24"/>
        </w:rPr>
        <w:t>de</w:t>
      </w:r>
      <w:r w:rsidRPr="009451FB">
        <w:rPr>
          <w:rFonts w:ascii="Arial" w:hAnsi="Arial" w:cs="Arial"/>
          <w:spacing w:val="19"/>
          <w:sz w:val="24"/>
          <w:szCs w:val="24"/>
        </w:rPr>
        <w:t xml:space="preserve"> </w:t>
      </w:r>
      <w:r w:rsidRPr="009451FB">
        <w:rPr>
          <w:rFonts w:ascii="Arial" w:hAnsi="Arial" w:cs="Arial"/>
          <w:sz w:val="24"/>
          <w:szCs w:val="24"/>
        </w:rPr>
        <w:t>género,</w:t>
      </w:r>
      <w:r w:rsidRPr="009451FB">
        <w:rPr>
          <w:rFonts w:ascii="Arial" w:hAnsi="Arial" w:cs="Arial"/>
          <w:spacing w:val="17"/>
          <w:sz w:val="24"/>
          <w:szCs w:val="24"/>
        </w:rPr>
        <w:t xml:space="preserve"> </w:t>
      </w:r>
      <w:r w:rsidRPr="009451FB">
        <w:rPr>
          <w:rFonts w:ascii="Arial" w:hAnsi="Arial" w:cs="Arial"/>
          <w:sz w:val="24"/>
          <w:szCs w:val="24"/>
        </w:rPr>
        <w:t>y</w:t>
      </w:r>
      <w:r w:rsidRPr="009451FB">
        <w:rPr>
          <w:rFonts w:ascii="Arial" w:hAnsi="Arial" w:cs="Arial"/>
          <w:spacing w:val="19"/>
          <w:sz w:val="24"/>
          <w:szCs w:val="24"/>
        </w:rPr>
        <w:t xml:space="preserve"> </w:t>
      </w:r>
      <w:r w:rsidRPr="009451FB">
        <w:rPr>
          <w:rFonts w:ascii="Arial" w:hAnsi="Arial" w:cs="Arial"/>
          <w:sz w:val="24"/>
          <w:szCs w:val="24"/>
        </w:rPr>
        <w:t>cómo</w:t>
      </w:r>
      <w:r w:rsidRPr="009451FB">
        <w:rPr>
          <w:rFonts w:ascii="Arial" w:hAnsi="Arial" w:cs="Arial"/>
          <w:spacing w:val="18"/>
          <w:sz w:val="24"/>
          <w:szCs w:val="24"/>
        </w:rPr>
        <w:t xml:space="preserve"> </w:t>
      </w:r>
      <w:r w:rsidRPr="009451FB">
        <w:rPr>
          <w:rFonts w:ascii="Arial" w:hAnsi="Arial" w:cs="Arial"/>
          <w:sz w:val="24"/>
          <w:szCs w:val="24"/>
        </w:rPr>
        <w:t>puede</w:t>
      </w:r>
      <w:r w:rsidRPr="009451FB">
        <w:rPr>
          <w:rFonts w:ascii="Arial" w:hAnsi="Arial" w:cs="Arial"/>
          <w:spacing w:val="18"/>
          <w:sz w:val="24"/>
          <w:szCs w:val="24"/>
        </w:rPr>
        <w:t xml:space="preserve"> </w:t>
      </w:r>
      <w:r w:rsidRPr="009451FB">
        <w:rPr>
          <w:rFonts w:ascii="Arial" w:hAnsi="Arial" w:cs="Arial"/>
          <w:sz w:val="24"/>
          <w:szCs w:val="24"/>
        </w:rPr>
        <w:t>fortalecerse</w:t>
      </w:r>
      <w:r w:rsidRPr="009451FB">
        <w:rPr>
          <w:rFonts w:ascii="Arial" w:hAnsi="Arial" w:cs="Arial"/>
          <w:spacing w:val="18"/>
          <w:sz w:val="24"/>
          <w:szCs w:val="24"/>
        </w:rPr>
        <w:t xml:space="preserve"> </w:t>
      </w:r>
      <w:r w:rsidRPr="009451FB">
        <w:rPr>
          <w:rFonts w:ascii="Arial" w:hAnsi="Arial" w:cs="Arial"/>
          <w:sz w:val="24"/>
          <w:szCs w:val="24"/>
        </w:rPr>
        <w:t>la potencialidad de la tributación sobre los ingresos personales para actuar positivamente sobre el objetivo de alcanzar una equidad sustantiva entre los géneros.</w:t>
      </w:r>
    </w:p>
    <w:p w14:paraId="01375F39" w14:textId="77777777" w:rsidR="00B107CA" w:rsidRPr="009451FB" w:rsidRDefault="00B107CA" w:rsidP="009451FB">
      <w:pPr>
        <w:pStyle w:val="Textoindependiente"/>
        <w:spacing w:before="91"/>
        <w:ind w:left="221" w:right="596"/>
        <w:rPr>
          <w:rFonts w:ascii="Arial" w:hAnsi="Arial" w:cs="Arial"/>
          <w:sz w:val="24"/>
          <w:szCs w:val="24"/>
        </w:rPr>
      </w:pPr>
    </w:p>
    <w:p w14:paraId="1019FA2A" w14:textId="77777777" w:rsidR="00B107CA" w:rsidRPr="009451FB" w:rsidRDefault="00B107CA" w:rsidP="009451FB">
      <w:pPr>
        <w:tabs>
          <w:tab w:val="left" w:pos="928"/>
        </w:tabs>
        <w:spacing w:line="240" w:lineRule="auto"/>
        <w:jc w:val="both"/>
        <w:rPr>
          <w:rFonts w:ascii="Arial" w:hAnsi="Arial" w:cs="Arial"/>
          <w:sz w:val="24"/>
          <w:szCs w:val="24"/>
        </w:rPr>
      </w:pPr>
      <w:r w:rsidRPr="009451FB">
        <w:rPr>
          <w:rFonts w:ascii="Arial" w:hAnsi="Arial" w:cs="Arial"/>
          <w:sz w:val="24"/>
          <w:szCs w:val="24"/>
        </w:rPr>
        <w:t>¿Qué significa mirar los impuestos desde la perspectiva de</w:t>
      </w:r>
      <w:r w:rsidRPr="009451FB">
        <w:rPr>
          <w:rFonts w:ascii="Arial" w:hAnsi="Arial" w:cs="Arial"/>
          <w:spacing w:val="-1"/>
          <w:sz w:val="24"/>
          <w:szCs w:val="24"/>
        </w:rPr>
        <w:t xml:space="preserve"> </w:t>
      </w:r>
      <w:r w:rsidRPr="009451FB">
        <w:rPr>
          <w:rFonts w:ascii="Arial" w:hAnsi="Arial" w:cs="Arial"/>
          <w:sz w:val="24"/>
          <w:szCs w:val="24"/>
        </w:rPr>
        <w:t>género?</w:t>
      </w:r>
    </w:p>
    <w:p w14:paraId="4F9ECC03" w14:textId="77777777" w:rsidR="00B107CA" w:rsidRPr="009451FB" w:rsidRDefault="00B107CA" w:rsidP="009451FB">
      <w:pPr>
        <w:pStyle w:val="Textoindependiente"/>
        <w:spacing w:before="120"/>
        <w:ind w:left="221" w:right="589"/>
        <w:rPr>
          <w:rFonts w:ascii="Arial" w:hAnsi="Arial" w:cs="Arial"/>
          <w:sz w:val="24"/>
          <w:szCs w:val="24"/>
        </w:rPr>
      </w:pPr>
      <w:r w:rsidRPr="009451FB">
        <w:rPr>
          <w:rFonts w:ascii="Arial" w:hAnsi="Arial" w:cs="Arial"/>
          <w:sz w:val="24"/>
          <w:szCs w:val="24"/>
        </w:rPr>
        <w:t>Las diversas formas en que el Estado recauda dinero para hacer frente a las necesidades del sector público, ya sea a través de la percepción de impuestos u otros cargos (como las tasas por el uso de bienes y servicios públicos) tienen un impacto directo sobre las personas que puede variar según su sexo, su situación laboral, el tipo de hogar en el que vive, etc. Es decir, las políticas tributarias, como toda política económica, no son neutrales a las características socio-económicas de las personas, entre ellas el</w:t>
      </w:r>
      <w:r w:rsidRPr="009451FB">
        <w:rPr>
          <w:rFonts w:ascii="Arial" w:hAnsi="Arial" w:cs="Arial"/>
          <w:spacing w:val="-8"/>
          <w:sz w:val="24"/>
          <w:szCs w:val="24"/>
        </w:rPr>
        <w:t xml:space="preserve"> </w:t>
      </w:r>
      <w:r w:rsidRPr="009451FB">
        <w:rPr>
          <w:rFonts w:ascii="Arial" w:hAnsi="Arial" w:cs="Arial"/>
          <w:sz w:val="24"/>
          <w:szCs w:val="24"/>
        </w:rPr>
        <w:t>género.</w:t>
      </w:r>
    </w:p>
    <w:p w14:paraId="1A05761E" w14:textId="77777777" w:rsidR="00B107CA" w:rsidRPr="009451FB" w:rsidRDefault="00B107CA" w:rsidP="009451FB">
      <w:pPr>
        <w:pStyle w:val="Textoindependiente"/>
        <w:spacing w:before="120"/>
        <w:ind w:left="221" w:right="590"/>
        <w:rPr>
          <w:rFonts w:ascii="Arial" w:hAnsi="Arial" w:cs="Arial"/>
          <w:sz w:val="24"/>
          <w:szCs w:val="24"/>
        </w:rPr>
      </w:pPr>
      <w:r w:rsidRPr="009451FB">
        <w:rPr>
          <w:rFonts w:ascii="Arial" w:hAnsi="Arial" w:cs="Arial"/>
          <w:sz w:val="24"/>
          <w:szCs w:val="24"/>
        </w:rPr>
        <w:t>En las últimas décadas, varios estudios pusieron de manifiesto las inequidades existentes en políticas tributarias que podían aparecer como neutrales en términos de género.</w:t>
      </w:r>
      <w:r w:rsidRPr="009451FB">
        <w:rPr>
          <w:rFonts w:ascii="Arial" w:hAnsi="Arial" w:cs="Arial"/>
          <w:position w:val="5"/>
          <w:sz w:val="24"/>
          <w:szCs w:val="24"/>
        </w:rPr>
        <w:t xml:space="preserve"> </w:t>
      </w:r>
      <w:r w:rsidRPr="009451FB">
        <w:rPr>
          <w:rFonts w:ascii="Arial" w:hAnsi="Arial" w:cs="Arial"/>
          <w:sz w:val="24"/>
          <w:szCs w:val="24"/>
        </w:rPr>
        <w:t xml:space="preserve">Estos aportes establecieron metodologías particulares para la revisión de estructuras tributarias con relación al cumplimiento de las obligaciones de la Convención para la Eliminación de Todas las Formas de Discriminación contra la Mujer (CEDAW, por sus siglas en inglés) y analizaron los efectos de las políticas tributarias de países específicos, para varones y mujeres. La revisión del sistema tributario desde la perspectiva de la CEDAW implica evaluar no sólo que el total recaudado sea suficiente para asegurar el </w:t>
      </w:r>
      <w:r w:rsidRPr="009451FB">
        <w:rPr>
          <w:rFonts w:ascii="Arial" w:hAnsi="Arial" w:cs="Arial"/>
          <w:sz w:val="24"/>
          <w:szCs w:val="24"/>
        </w:rPr>
        <w:lastRenderedPageBreak/>
        <w:t>ejercicio de los derechos civiles, políticos, económicos, sociales y culturales para varones y mujeres en condiciones de igualdad, sino también que estos recursos sean recaudados de una  manera consistente con el objetivo de alcanzar la igualdad</w:t>
      </w:r>
      <w:r w:rsidRPr="009451FB">
        <w:rPr>
          <w:rFonts w:ascii="Arial" w:hAnsi="Arial" w:cs="Arial"/>
          <w:spacing w:val="-2"/>
          <w:sz w:val="24"/>
          <w:szCs w:val="24"/>
        </w:rPr>
        <w:t xml:space="preserve"> </w:t>
      </w:r>
      <w:r w:rsidRPr="009451FB">
        <w:rPr>
          <w:rFonts w:ascii="Arial" w:hAnsi="Arial" w:cs="Arial"/>
          <w:sz w:val="24"/>
          <w:szCs w:val="24"/>
        </w:rPr>
        <w:t>sustantiva.</w:t>
      </w:r>
    </w:p>
    <w:p w14:paraId="5E912D5F" w14:textId="169F36B1" w:rsidR="00B107CA" w:rsidRPr="009451FB" w:rsidRDefault="00B107CA" w:rsidP="009451FB">
      <w:pPr>
        <w:pStyle w:val="Textoindependiente"/>
        <w:spacing w:before="91"/>
        <w:ind w:left="221" w:right="596"/>
        <w:rPr>
          <w:rFonts w:ascii="Arial" w:hAnsi="Arial" w:cs="Arial"/>
          <w:sz w:val="24"/>
          <w:szCs w:val="24"/>
        </w:rPr>
      </w:pPr>
      <w:r w:rsidRPr="009451FB">
        <w:rPr>
          <w:rFonts w:ascii="Arial" w:hAnsi="Arial" w:cs="Arial"/>
          <w:sz w:val="24"/>
          <w:szCs w:val="24"/>
        </w:rPr>
        <w:t>El análisis de los impuestos sobre las ganancias de las personas físicas constituye un buen punto de partida para la revisión del sistema tributario desde una perspectiva de género. Al tratarse de un impuesto personal sobre la renta puede analizarse tanto sobre la</w:t>
      </w:r>
      <w:r w:rsidR="007A76D2">
        <w:rPr>
          <w:rFonts w:ascii="Arial" w:hAnsi="Arial" w:cs="Arial"/>
          <w:sz w:val="24"/>
          <w:szCs w:val="24"/>
        </w:rPr>
        <w:t xml:space="preserve"> </w:t>
      </w:r>
      <w:r w:rsidRPr="009451FB">
        <w:rPr>
          <w:rFonts w:ascii="Arial" w:hAnsi="Arial" w:cs="Arial"/>
          <w:sz w:val="24"/>
          <w:szCs w:val="24"/>
        </w:rPr>
        <w:t>base de los individuos que grava como respecto de las distintas composiciones familiares que afecta. Desde la perspectiva de la CEDAW, los impuestos sobre los ganancias de las personas físicas pueden analizarse en cuatro dimensiones: el contenido mismo de las normas tributarias y su eventual contenido explícita o implícitamente discriminatorio; la incidencia del impuesto sobre varones y mujeres y hogares de diversa composición; los incentivos que los impuestos determinan respecto de ciertas conductas; y su impacto en términos de desigualdad de género en los ingresos.</w:t>
      </w:r>
    </w:p>
    <w:p w14:paraId="02867280" w14:textId="77777777" w:rsidR="00B107CA" w:rsidRPr="009451FB" w:rsidRDefault="00B107CA" w:rsidP="009451FB">
      <w:pPr>
        <w:pStyle w:val="Textoindependiente"/>
        <w:spacing w:before="121"/>
        <w:ind w:left="221" w:right="590"/>
        <w:rPr>
          <w:rFonts w:ascii="Arial" w:hAnsi="Arial" w:cs="Arial"/>
          <w:sz w:val="24"/>
          <w:szCs w:val="24"/>
        </w:rPr>
      </w:pPr>
      <w:r w:rsidRPr="009451FB">
        <w:rPr>
          <w:rFonts w:ascii="Arial" w:hAnsi="Arial" w:cs="Arial"/>
          <w:sz w:val="24"/>
          <w:szCs w:val="24"/>
        </w:rPr>
        <w:t>Cuando el análisis se concentra en la incidencia tributaria, lo que estamos mirando es el peso relativo de los impuestos sobre la capacidad contributiva de las personas que tributan. En este sentido operan dos criterios habituales de evaluación, vinculados a la equidad que establece el</w:t>
      </w:r>
      <w:r w:rsidRPr="009451FB">
        <w:rPr>
          <w:rFonts w:ascii="Arial" w:hAnsi="Arial" w:cs="Arial"/>
          <w:spacing w:val="1"/>
          <w:sz w:val="24"/>
          <w:szCs w:val="24"/>
        </w:rPr>
        <w:t xml:space="preserve"> </w:t>
      </w:r>
      <w:r w:rsidRPr="009451FB">
        <w:rPr>
          <w:rFonts w:ascii="Arial" w:hAnsi="Arial" w:cs="Arial"/>
          <w:sz w:val="24"/>
          <w:szCs w:val="24"/>
        </w:rPr>
        <w:t>sistema.</w:t>
      </w:r>
    </w:p>
    <w:p w14:paraId="7AE35BEF" w14:textId="77777777" w:rsidR="00B107CA" w:rsidRPr="009451FB" w:rsidRDefault="00B107CA" w:rsidP="009451FB">
      <w:pPr>
        <w:pStyle w:val="Textoindependiente"/>
        <w:spacing w:before="119"/>
        <w:ind w:left="221" w:right="593"/>
        <w:rPr>
          <w:rFonts w:ascii="Arial" w:hAnsi="Arial" w:cs="Arial"/>
          <w:sz w:val="24"/>
          <w:szCs w:val="24"/>
        </w:rPr>
      </w:pPr>
      <w:r w:rsidRPr="009451FB">
        <w:rPr>
          <w:rFonts w:ascii="Arial" w:hAnsi="Arial" w:cs="Arial"/>
          <w:sz w:val="24"/>
          <w:szCs w:val="24"/>
        </w:rPr>
        <w:t>El primer criterio es el de la equidad horizontal. El mismo refiere al hecho que las personas que tienen un mismo nivel de capacidad contributiva, deberían tributar un mismo nivel de impuestos. Por ejemplo, el nivel de tributación de un hombre que gana $10000.- con la compra y venta de acciones, debería ser igual al de una mujer que gana $10000.- con su trabajo personal.</w:t>
      </w:r>
    </w:p>
    <w:p w14:paraId="7F4ACBF2" w14:textId="77777777" w:rsidR="00B107CA" w:rsidRPr="009451FB" w:rsidRDefault="00B107CA" w:rsidP="009451FB">
      <w:pPr>
        <w:pStyle w:val="Textoindependiente"/>
        <w:spacing w:before="121"/>
        <w:ind w:left="221" w:right="593"/>
        <w:rPr>
          <w:rFonts w:ascii="Arial" w:hAnsi="Arial" w:cs="Arial"/>
          <w:sz w:val="24"/>
          <w:szCs w:val="24"/>
        </w:rPr>
      </w:pPr>
      <w:r w:rsidRPr="009451FB">
        <w:rPr>
          <w:rFonts w:ascii="Arial" w:hAnsi="Arial" w:cs="Arial"/>
          <w:sz w:val="24"/>
          <w:szCs w:val="24"/>
        </w:rPr>
        <w:t>Pueden darse situaciones de inequidad horizontal, cuando existen rentas exentas, por lo que depende de cuál sea la fuente del ingreso, en algunos casos se tribute y en otros no. También se daría un caso de inequidad horizontal cuando algunos beneficios (por ejemplo, determinados créditos fiscales) estén disponibles para algunos tipos de ingreso, pero no para otros.</w:t>
      </w:r>
    </w:p>
    <w:p w14:paraId="737EF7E0" w14:textId="77777777" w:rsidR="00B107CA" w:rsidRPr="009451FB" w:rsidRDefault="00B107CA" w:rsidP="009451FB">
      <w:pPr>
        <w:pStyle w:val="Textoindependiente"/>
        <w:spacing w:before="120"/>
        <w:ind w:left="221" w:right="591"/>
        <w:rPr>
          <w:rFonts w:ascii="Arial" w:hAnsi="Arial" w:cs="Arial"/>
          <w:sz w:val="24"/>
          <w:szCs w:val="24"/>
        </w:rPr>
      </w:pPr>
      <w:r w:rsidRPr="009451FB">
        <w:rPr>
          <w:rFonts w:ascii="Arial" w:hAnsi="Arial" w:cs="Arial"/>
          <w:sz w:val="24"/>
          <w:szCs w:val="24"/>
        </w:rPr>
        <w:t>El otro criterio de evaluación es el de la equidad vertical. El mismo refiere al hecho que aquellas personas que tienen distinto nivel de capacidad contributiva, deberían tributar distinto nivel de impuestos. Por ejemplo, un ejecutivo que gana $500000.- al año con su trabajo personal en una compañía multinacional, debería tributar más que una empleada doméstica que gana $5000.- al año. Esto no ocurre, por ejemplo, cuando estas dos personas adquieren un bien de consumo que vale $100.- por el cual tributan $21.- de IVA. Para el ejecutivo, esto representa el 0,0042% de su ingreso anual. En cambio, para la empleada doméstica, esto representa casi el 0,5% de su ingreso anual. Es decir, si bien ambos están pagando el mismo monto de impuestos ($21), el peso de ese impuesto es relativamente mayor para la empleada doméstica que para el ejecutivo.</w:t>
      </w:r>
    </w:p>
    <w:p w14:paraId="68F83B0B" w14:textId="77777777" w:rsidR="00B107CA" w:rsidRPr="009451FB" w:rsidRDefault="00B107CA" w:rsidP="009451FB">
      <w:pPr>
        <w:pStyle w:val="Textoindependiente"/>
        <w:spacing w:before="91"/>
        <w:ind w:left="221" w:right="593"/>
        <w:rPr>
          <w:rFonts w:ascii="Arial" w:hAnsi="Arial" w:cs="Arial"/>
          <w:sz w:val="24"/>
          <w:szCs w:val="24"/>
        </w:rPr>
      </w:pPr>
      <w:r w:rsidRPr="009451FB">
        <w:rPr>
          <w:rFonts w:ascii="Arial" w:hAnsi="Arial" w:cs="Arial"/>
          <w:sz w:val="24"/>
          <w:szCs w:val="24"/>
        </w:rPr>
        <w:t xml:space="preserve">Un aspecto a tener en cuenta, es que si se quiere que los impuestos funcionen como instrumentos a favor de la equidad de género, puede ser </w:t>
      </w:r>
      <w:r w:rsidRPr="009451FB">
        <w:rPr>
          <w:rFonts w:ascii="Arial" w:hAnsi="Arial" w:cs="Arial"/>
          <w:sz w:val="24"/>
          <w:szCs w:val="24"/>
        </w:rPr>
        <w:lastRenderedPageBreak/>
        <w:t>necesario tratar de manera diferente a las personas, lo que en términos estrictos podría considerarse como una situación de inequidad horizontal. Esto es así, porque no se parte de una situación donde todas las personas, por caso las mujeres y los varones, se encuentren en un plano de igualdad, en relación con su inserción económica y su nivel de ingreso.</w:t>
      </w:r>
    </w:p>
    <w:p w14:paraId="15FDF9C7" w14:textId="77777777" w:rsidR="00B107CA" w:rsidRPr="009451FB" w:rsidRDefault="00B107CA" w:rsidP="009451FB">
      <w:pPr>
        <w:pStyle w:val="Textoindependiente"/>
        <w:spacing w:before="121"/>
        <w:ind w:left="221" w:right="591"/>
        <w:rPr>
          <w:rFonts w:ascii="Arial" w:hAnsi="Arial" w:cs="Arial"/>
          <w:sz w:val="24"/>
          <w:szCs w:val="24"/>
        </w:rPr>
      </w:pPr>
      <w:r w:rsidRPr="009451FB">
        <w:rPr>
          <w:rFonts w:ascii="Arial" w:hAnsi="Arial" w:cs="Arial"/>
          <w:sz w:val="24"/>
          <w:szCs w:val="24"/>
        </w:rPr>
        <w:t>Por lo mismo, puede pensarse que una medida tributaria que tenga como objetivo estimular la inserción laboral de las mujeres, y que para ello realice, por ejemplo, algún tipo de exención impositiva al ingreso de las mujeres, o a la provisión de servicios de cuidado, que permita reducir su precio, no es en sí mismo una medida de discriminación, sino por el contrario, una medida que busca eliminar una situación de discriminación laboral que existe de</w:t>
      </w:r>
      <w:r w:rsidRPr="009451FB">
        <w:rPr>
          <w:rFonts w:ascii="Arial" w:hAnsi="Arial" w:cs="Arial"/>
          <w:spacing w:val="-1"/>
          <w:sz w:val="24"/>
          <w:szCs w:val="24"/>
        </w:rPr>
        <w:t xml:space="preserve"> </w:t>
      </w:r>
      <w:r w:rsidRPr="009451FB">
        <w:rPr>
          <w:rFonts w:ascii="Arial" w:hAnsi="Arial" w:cs="Arial"/>
          <w:sz w:val="24"/>
          <w:szCs w:val="24"/>
        </w:rPr>
        <w:t>hecho.</w:t>
      </w:r>
    </w:p>
    <w:p w14:paraId="4B640688" w14:textId="77777777" w:rsidR="00B107CA" w:rsidRPr="009451FB" w:rsidRDefault="00B107CA" w:rsidP="009451FB">
      <w:pPr>
        <w:pStyle w:val="Textoindependiente"/>
        <w:spacing w:before="120"/>
        <w:ind w:left="221" w:right="590"/>
        <w:rPr>
          <w:rFonts w:ascii="Arial" w:hAnsi="Arial" w:cs="Arial"/>
          <w:sz w:val="24"/>
          <w:szCs w:val="24"/>
        </w:rPr>
      </w:pPr>
      <w:r w:rsidRPr="009451FB">
        <w:rPr>
          <w:rFonts w:ascii="Arial" w:hAnsi="Arial" w:cs="Arial"/>
          <w:sz w:val="24"/>
          <w:szCs w:val="24"/>
        </w:rPr>
        <w:t>Es decir, para conseguir equidad sustantiva, diferentes grupos en la sociedad pueden requerir tratamiento diferente. Desde una mirada de género, podría promoverse, por ejemplo, que la incidencia impositiva sea menor para aquellos hogares que no repliquen el modelo de hogar de proveedor único, como una manera de estimular relaciones de género diferentes y más equitativas.</w:t>
      </w:r>
    </w:p>
    <w:p w14:paraId="575B74EF" w14:textId="77777777" w:rsidR="00B107CA" w:rsidRPr="009451FB" w:rsidRDefault="00B107CA" w:rsidP="009451FB">
      <w:pPr>
        <w:pStyle w:val="Textoindependiente"/>
        <w:spacing w:before="120"/>
        <w:ind w:left="221" w:right="591"/>
        <w:rPr>
          <w:rFonts w:ascii="Arial" w:hAnsi="Arial" w:cs="Arial"/>
          <w:sz w:val="24"/>
          <w:szCs w:val="24"/>
        </w:rPr>
      </w:pPr>
      <w:r w:rsidRPr="009451FB">
        <w:rPr>
          <w:rFonts w:ascii="Arial" w:hAnsi="Arial" w:cs="Arial"/>
          <w:sz w:val="24"/>
          <w:szCs w:val="24"/>
        </w:rPr>
        <w:t>En este sentido, hay que tener en cuenta que la tributación también genera incentivos o desincentivos a las personas. Y que los mismos pueden utilizarse para desafiar las relaciones de género existente. Por caso, la tributación puede promover o desincentivar ciertos consumos. Por ejemplo, puede utilizarse la tributación como una herramienta para promover el consumo de servicios de salud sexual y reproductiva, o de planificación familiar</w:t>
      </w:r>
      <w:r w:rsidRPr="009451FB">
        <w:rPr>
          <w:rFonts w:ascii="Arial" w:hAnsi="Arial" w:cs="Arial"/>
          <w:spacing w:val="-1"/>
          <w:sz w:val="24"/>
          <w:szCs w:val="24"/>
        </w:rPr>
        <w:t xml:space="preserve"> </w:t>
      </w:r>
      <w:r w:rsidRPr="009451FB">
        <w:rPr>
          <w:rFonts w:ascii="Arial" w:hAnsi="Arial" w:cs="Arial"/>
          <w:sz w:val="24"/>
          <w:szCs w:val="24"/>
        </w:rPr>
        <w:t>responsable.</w:t>
      </w:r>
    </w:p>
    <w:p w14:paraId="6AA1D362" w14:textId="77777777" w:rsidR="00B107CA" w:rsidRPr="009451FB" w:rsidRDefault="00B107CA" w:rsidP="009451FB">
      <w:pPr>
        <w:pStyle w:val="Textoindependiente"/>
        <w:spacing w:before="119"/>
        <w:ind w:left="221" w:right="593"/>
        <w:rPr>
          <w:rFonts w:ascii="Arial" w:hAnsi="Arial" w:cs="Arial"/>
          <w:sz w:val="24"/>
          <w:szCs w:val="24"/>
        </w:rPr>
      </w:pPr>
      <w:r w:rsidRPr="009451FB">
        <w:rPr>
          <w:rFonts w:ascii="Arial" w:hAnsi="Arial" w:cs="Arial"/>
          <w:sz w:val="24"/>
          <w:szCs w:val="24"/>
        </w:rPr>
        <w:t>La tributación también puede promover o desincentivar ciertos comportamientos, como es el caso de las decisiones de las personas respecto de su participación en el mercado laboral. En este sentido, puede utilizarse la tributación para incentivar la participación de las mujeres en el mercado laboral, superando las discriminaciones propias de este  espacio. O bien, puede utilizarse la tributación para incentivar la participación de los varones en el trabajo no remunerado vinculado con las tareas de cuidado, lo que a su tiempo también puede redundar en mayor inserción laboral de las</w:t>
      </w:r>
      <w:r w:rsidRPr="009451FB">
        <w:rPr>
          <w:rFonts w:ascii="Arial" w:hAnsi="Arial" w:cs="Arial"/>
          <w:spacing w:val="-7"/>
          <w:sz w:val="24"/>
          <w:szCs w:val="24"/>
        </w:rPr>
        <w:t xml:space="preserve"> </w:t>
      </w:r>
      <w:r w:rsidRPr="009451FB">
        <w:rPr>
          <w:rFonts w:ascii="Arial" w:hAnsi="Arial" w:cs="Arial"/>
          <w:sz w:val="24"/>
          <w:szCs w:val="24"/>
        </w:rPr>
        <w:t>mujeres.</w:t>
      </w:r>
    </w:p>
    <w:p w14:paraId="5D373948" w14:textId="77777777" w:rsidR="00B107CA" w:rsidRPr="009451FB" w:rsidRDefault="00B107CA" w:rsidP="009451FB">
      <w:pPr>
        <w:pStyle w:val="Textoindependiente"/>
        <w:spacing w:before="120"/>
        <w:ind w:left="221" w:right="590" w:hanging="1"/>
        <w:rPr>
          <w:rFonts w:ascii="Arial" w:hAnsi="Arial" w:cs="Arial"/>
          <w:sz w:val="24"/>
          <w:szCs w:val="24"/>
        </w:rPr>
      </w:pPr>
      <w:r w:rsidRPr="009451FB">
        <w:rPr>
          <w:rFonts w:ascii="Arial" w:hAnsi="Arial" w:cs="Arial"/>
          <w:sz w:val="24"/>
          <w:szCs w:val="24"/>
        </w:rPr>
        <w:t>En definitiva, los impuestos pueden transformarse en una herramienta distributiva, y lo hacen cuando mejoran la inequitativa distribución del ingreso y la riqueza, cuando protege a la población más vulnerable, y cuando contribuye a transformar las inequitativas relaciones de género existentes.</w:t>
      </w:r>
    </w:p>
    <w:p w14:paraId="2A9D6177" w14:textId="77777777" w:rsidR="00B107CA" w:rsidRPr="009451FB" w:rsidRDefault="00B107CA" w:rsidP="009451FB">
      <w:pPr>
        <w:pStyle w:val="Textoindependiente"/>
        <w:spacing w:before="120"/>
        <w:ind w:left="221" w:right="592"/>
        <w:rPr>
          <w:rFonts w:ascii="Arial" w:hAnsi="Arial" w:cs="Arial"/>
          <w:sz w:val="24"/>
          <w:szCs w:val="24"/>
        </w:rPr>
      </w:pPr>
    </w:p>
    <w:p w14:paraId="72B0D1B1" w14:textId="77777777" w:rsidR="00B107CA" w:rsidRPr="009451FB" w:rsidRDefault="00B107CA" w:rsidP="009451FB">
      <w:pPr>
        <w:pStyle w:val="Textoindependiente"/>
        <w:spacing w:before="120"/>
        <w:ind w:left="221" w:right="592"/>
        <w:rPr>
          <w:rFonts w:ascii="Arial" w:hAnsi="Arial" w:cs="Arial"/>
          <w:sz w:val="24"/>
          <w:szCs w:val="24"/>
        </w:rPr>
      </w:pPr>
    </w:p>
    <w:p w14:paraId="04696DBD" w14:textId="77777777" w:rsidR="00B107CA" w:rsidRPr="009451FB" w:rsidRDefault="00B107CA" w:rsidP="009451FB">
      <w:pPr>
        <w:pStyle w:val="Textoindependiente"/>
        <w:spacing w:before="120"/>
        <w:ind w:left="221" w:right="592"/>
        <w:rPr>
          <w:rFonts w:ascii="Arial" w:hAnsi="Arial" w:cs="Arial"/>
          <w:sz w:val="24"/>
          <w:szCs w:val="24"/>
        </w:rPr>
      </w:pPr>
    </w:p>
    <w:p w14:paraId="5BA397A4" w14:textId="77777777" w:rsidR="00B107CA" w:rsidRPr="009451FB" w:rsidRDefault="00B107CA" w:rsidP="009451FB">
      <w:pPr>
        <w:pStyle w:val="Textoindependiente"/>
        <w:spacing w:before="120"/>
        <w:ind w:left="221" w:right="592"/>
        <w:rPr>
          <w:rFonts w:ascii="Arial" w:hAnsi="Arial" w:cs="Arial"/>
          <w:sz w:val="24"/>
          <w:szCs w:val="24"/>
        </w:rPr>
      </w:pPr>
      <w:r w:rsidRPr="009451FB">
        <w:rPr>
          <w:rFonts w:ascii="Arial" w:hAnsi="Arial" w:cs="Arial"/>
          <w:sz w:val="24"/>
          <w:szCs w:val="24"/>
        </w:rPr>
        <w:t xml:space="preserve">El rasgo más notorio de la persistencia de la inequidad es el estancamiento de la tasa de actividad femenina. El crecimiento económico, la mayor oferta de puestos de empleo y la mejora relativa en </w:t>
      </w:r>
      <w:r w:rsidRPr="009451FB">
        <w:rPr>
          <w:rFonts w:ascii="Arial" w:hAnsi="Arial" w:cs="Arial"/>
          <w:sz w:val="24"/>
          <w:szCs w:val="24"/>
        </w:rPr>
        <w:lastRenderedPageBreak/>
        <w:t>los ingresos, no incentivaron la mayor participación laboral femenina sino que, por el contrario, promovieron estrategias familiares que las excluyen de la actividad laboral. Esta situación no resulta homogénea por estrato de ingreso. En el mercado laboral argentino, sigue operando una doble discriminación: por género y por condición económica de las personas. La tasa de actividad de las mujeres de menores ingresos es sustantivamente menor que la de mayores ingresos y la brecha de género resulta más amplia cuanto menor el quintil de ingreso. La presencia de niños y niñas pequeños en el hogar sigue siendo uno de los condicionantes fundamentales para la inserción laboral femenina, lo que se agrava cuanto menor es el nivel de ingreso del</w:t>
      </w:r>
      <w:r w:rsidRPr="009451FB">
        <w:rPr>
          <w:rFonts w:ascii="Arial" w:hAnsi="Arial" w:cs="Arial"/>
          <w:spacing w:val="-22"/>
          <w:sz w:val="24"/>
          <w:szCs w:val="24"/>
        </w:rPr>
        <w:t xml:space="preserve"> </w:t>
      </w:r>
      <w:r w:rsidRPr="009451FB">
        <w:rPr>
          <w:rFonts w:ascii="Arial" w:hAnsi="Arial" w:cs="Arial"/>
          <w:sz w:val="24"/>
          <w:szCs w:val="24"/>
        </w:rPr>
        <w:t>hogar.</w:t>
      </w:r>
    </w:p>
    <w:p w14:paraId="2DFD6052" w14:textId="77777777" w:rsidR="00B107CA" w:rsidRPr="009451FB" w:rsidRDefault="00B107CA" w:rsidP="009451FB">
      <w:pPr>
        <w:pStyle w:val="Textoindependiente"/>
        <w:spacing w:before="120"/>
        <w:ind w:left="221" w:right="592"/>
        <w:rPr>
          <w:rFonts w:ascii="Arial" w:hAnsi="Arial" w:cs="Arial"/>
          <w:sz w:val="24"/>
          <w:szCs w:val="24"/>
        </w:rPr>
      </w:pPr>
    </w:p>
    <w:p w14:paraId="6C64F949" w14:textId="77777777" w:rsidR="00B107CA" w:rsidRPr="009451FB" w:rsidRDefault="00B107CA" w:rsidP="009451FB">
      <w:pPr>
        <w:pStyle w:val="Textoindependiente"/>
        <w:spacing w:before="121"/>
        <w:ind w:left="221" w:right="592"/>
        <w:rPr>
          <w:rFonts w:ascii="Arial" w:hAnsi="Arial" w:cs="Arial"/>
          <w:sz w:val="24"/>
          <w:szCs w:val="24"/>
        </w:rPr>
      </w:pPr>
      <w:r w:rsidRPr="009451FB">
        <w:rPr>
          <w:rFonts w:ascii="Arial" w:hAnsi="Arial" w:cs="Arial"/>
          <w:sz w:val="24"/>
          <w:szCs w:val="24"/>
        </w:rPr>
        <w:t>Concluyendo  se ha revisado el esquema de impuesto a las ganancias en Argentina desde la perspectiva de la equidad de género. La observación estuvo orientada por los principios de no discriminación e igualdad sustantiva de la CEDAW, con el objeto de identificar qué elementos de la tributación a los ingresos de las personas refuerzan los roles tradicionales de género en la sociedad y la inequidad de género, y cómo puede fortalecerse la potencialidad de la tributación sobre los ingresos personales para actuar positivamente sobre la equidad de</w:t>
      </w:r>
      <w:r w:rsidRPr="009451FB">
        <w:rPr>
          <w:rFonts w:ascii="Arial" w:hAnsi="Arial" w:cs="Arial"/>
          <w:spacing w:val="-2"/>
          <w:sz w:val="24"/>
          <w:szCs w:val="24"/>
        </w:rPr>
        <w:t xml:space="preserve"> </w:t>
      </w:r>
      <w:r w:rsidRPr="009451FB">
        <w:rPr>
          <w:rFonts w:ascii="Arial" w:hAnsi="Arial" w:cs="Arial"/>
          <w:sz w:val="24"/>
          <w:szCs w:val="24"/>
        </w:rPr>
        <w:t>género.</w:t>
      </w:r>
    </w:p>
    <w:p w14:paraId="78BC5B01" w14:textId="77777777" w:rsidR="00B107CA" w:rsidRPr="009451FB" w:rsidRDefault="00B107CA" w:rsidP="009451FB">
      <w:pPr>
        <w:pStyle w:val="Textoindependiente"/>
        <w:spacing w:before="119"/>
        <w:ind w:left="221" w:right="595"/>
        <w:rPr>
          <w:rFonts w:ascii="Arial" w:hAnsi="Arial" w:cs="Arial"/>
          <w:sz w:val="24"/>
          <w:szCs w:val="24"/>
        </w:rPr>
      </w:pPr>
      <w:r w:rsidRPr="009451FB">
        <w:rPr>
          <w:rFonts w:ascii="Arial" w:hAnsi="Arial" w:cs="Arial"/>
          <w:sz w:val="24"/>
          <w:szCs w:val="24"/>
        </w:rPr>
        <w:t xml:space="preserve">El impuesto a las ganancias de las personas físicas en Argentina se presenta como un régimen híbrido, al menos por dos razones. En primer lugar, porque si bien se instituye como un sistema de tributación individual, incorpora supuestos en los que se aplica una suerte de tributación conjunta para los integrantes del matrimonio, como en el caso de los ingresos por fuentes no laborales durante la vida conyugal. En segundo lugar, por el particular sistema de recaudación del impuesto, que establece diferencias para las categorías de contribución (trabajadores asalariados, trabajadores autónomos y </w:t>
      </w:r>
      <w:proofErr w:type="spellStart"/>
      <w:r w:rsidRPr="009451FB">
        <w:rPr>
          <w:rFonts w:ascii="Arial" w:hAnsi="Arial" w:cs="Arial"/>
          <w:sz w:val="24"/>
          <w:szCs w:val="24"/>
        </w:rPr>
        <w:t>monotributistas</w:t>
      </w:r>
      <w:proofErr w:type="spellEnd"/>
      <w:r w:rsidRPr="009451FB">
        <w:rPr>
          <w:rFonts w:ascii="Arial" w:hAnsi="Arial" w:cs="Arial"/>
          <w:sz w:val="24"/>
          <w:szCs w:val="24"/>
        </w:rPr>
        <w:t>).</w:t>
      </w:r>
    </w:p>
    <w:p w14:paraId="6CFC2E5F" w14:textId="77777777" w:rsidR="00B107CA" w:rsidRPr="009451FB" w:rsidRDefault="00B107CA" w:rsidP="009451FB">
      <w:pPr>
        <w:pStyle w:val="Textoindependiente"/>
        <w:spacing w:before="121"/>
        <w:ind w:left="221" w:right="593"/>
        <w:rPr>
          <w:rFonts w:ascii="Arial" w:hAnsi="Arial" w:cs="Arial"/>
          <w:sz w:val="24"/>
          <w:szCs w:val="24"/>
        </w:rPr>
      </w:pPr>
      <w:r w:rsidRPr="009451FB">
        <w:rPr>
          <w:rFonts w:ascii="Arial" w:hAnsi="Arial" w:cs="Arial"/>
          <w:sz w:val="24"/>
          <w:szCs w:val="24"/>
        </w:rPr>
        <w:t xml:space="preserve">El principio de tributación individual constituye un valor positivo del sistema desde el punto de vista de la equidad de género, ya que </w:t>
      </w:r>
      <w:r w:rsidRPr="009451FB">
        <w:rPr>
          <w:rFonts w:ascii="Arial" w:hAnsi="Arial" w:cs="Arial"/>
          <w:i/>
          <w:sz w:val="24"/>
          <w:szCs w:val="24"/>
        </w:rPr>
        <w:t xml:space="preserve">a priori </w:t>
      </w:r>
      <w:r w:rsidRPr="009451FB">
        <w:rPr>
          <w:rFonts w:ascii="Arial" w:hAnsi="Arial" w:cs="Arial"/>
          <w:sz w:val="24"/>
          <w:szCs w:val="24"/>
        </w:rPr>
        <w:t>no desincentiva la generación de ingresos por parte de las mujeres, lo que sí podría suceder si la tributación fuese conjunta, ya que probablemente esta situación elevaría la tasa de contribución marginal del impuesto.</w:t>
      </w:r>
    </w:p>
    <w:p w14:paraId="0D30D32B" w14:textId="77777777" w:rsidR="00B107CA" w:rsidRPr="009451FB" w:rsidRDefault="00B107CA" w:rsidP="009451FB">
      <w:pPr>
        <w:pStyle w:val="Textoindependiente"/>
        <w:spacing w:before="120"/>
        <w:ind w:left="221" w:right="594"/>
        <w:rPr>
          <w:rFonts w:ascii="Arial" w:hAnsi="Arial" w:cs="Arial"/>
          <w:sz w:val="24"/>
          <w:szCs w:val="24"/>
        </w:rPr>
      </w:pPr>
      <w:r w:rsidRPr="009451FB">
        <w:rPr>
          <w:rFonts w:ascii="Arial" w:hAnsi="Arial" w:cs="Arial"/>
          <w:sz w:val="24"/>
          <w:szCs w:val="24"/>
        </w:rPr>
        <w:t xml:space="preserve">Un rasgo importante del sistema de tributación a las ganancias personales en Argentina es su segmentación en tres modalidades de tributación diferentes: la de las personas asalariadas, la de los trabajadores y trabajadoras independientes o </w:t>
      </w:r>
      <w:proofErr w:type="gramStart"/>
      <w:r w:rsidRPr="009451FB">
        <w:rPr>
          <w:rFonts w:ascii="Arial" w:hAnsi="Arial" w:cs="Arial"/>
          <w:sz w:val="24"/>
          <w:szCs w:val="24"/>
        </w:rPr>
        <w:t>autónomos</w:t>
      </w:r>
      <w:proofErr w:type="gramEnd"/>
      <w:r w:rsidRPr="009451FB">
        <w:rPr>
          <w:rFonts w:ascii="Arial" w:hAnsi="Arial" w:cs="Arial"/>
          <w:sz w:val="24"/>
          <w:szCs w:val="24"/>
        </w:rPr>
        <w:t xml:space="preserve">, y la de los </w:t>
      </w:r>
      <w:proofErr w:type="spellStart"/>
      <w:r w:rsidRPr="009451FB">
        <w:rPr>
          <w:rFonts w:ascii="Arial" w:hAnsi="Arial" w:cs="Arial"/>
          <w:sz w:val="24"/>
          <w:szCs w:val="24"/>
        </w:rPr>
        <w:t>monotributistas</w:t>
      </w:r>
      <w:proofErr w:type="spellEnd"/>
      <w:r w:rsidRPr="009451FB">
        <w:rPr>
          <w:rFonts w:ascii="Arial" w:hAnsi="Arial" w:cs="Arial"/>
          <w:sz w:val="24"/>
          <w:szCs w:val="24"/>
        </w:rPr>
        <w:t>.</w:t>
      </w:r>
    </w:p>
    <w:p w14:paraId="2521C5BB" w14:textId="77777777" w:rsidR="00B107CA" w:rsidRPr="009451FB" w:rsidRDefault="00B107CA" w:rsidP="009451FB">
      <w:pPr>
        <w:pStyle w:val="Textoindependiente"/>
        <w:spacing w:before="119"/>
        <w:ind w:left="221" w:right="590"/>
        <w:rPr>
          <w:rFonts w:ascii="Arial" w:hAnsi="Arial" w:cs="Arial"/>
          <w:sz w:val="24"/>
          <w:szCs w:val="24"/>
        </w:rPr>
      </w:pPr>
      <w:r w:rsidRPr="009451FB">
        <w:rPr>
          <w:rFonts w:ascii="Arial" w:hAnsi="Arial" w:cs="Arial"/>
          <w:sz w:val="24"/>
          <w:szCs w:val="24"/>
        </w:rPr>
        <w:t xml:space="preserve">Del análisis realizado se concluye que este último grupo se encuentra discriminado ya que no cuenta con los mismos beneficios fiscales a disposición de los trabajadores asalariados y autónomos. La sobre-representación de las mujeres entre las contribuyentes </w:t>
      </w:r>
      <w:proofErr w:type="spellStart"/>
      <w:r w:rsidRPr="009451FB">
        <w:rPr>
          <w:rFonts w:ascii="Arial" w:hAnsi="Arial" w:cs="Arial"/>
          <w:sz w:val="24"/>
          <w:szCs w:val="24"/>
        </w:rPr>
        <w:t>monotributistas</w:t>
      </w:r>
      <w:proofErr w:type="spellEnd"/>
      <w:r w:rsidRPr="009451FB">
        <w:rPr>
          <w:rFonts w:ascii="Arial" w:hAnsi="Arial" w:cs="Arial"/>
          <w:sz w:val="24"/>
          <w:szCs w:val="24"/>
        </w:rPr>
        <w:t xml:space="preserve"> (con respecto al porcentaje de mujeres asalariadas e independientes que tributan ganancias) torna particularmente relevante el hecho de que en esta categoría no se permita la suspensión del pago del tributo ante la </w:t>
      </w:r>
      <w:r w:rsidRPr="009451FB">
        <w:rPr>
          <w:rFonts w:ascii="Arial" w:hAnsi="Arial" w:cs="Arial"/>
          <w:sz w:val="24"/>
          <w:szCs w:val="24"/>
        </w:rPr>
        <w:lastRenderedPageBreak/>
        <w:t>ausencia de ingresos, ni se permitan deducciones ni desgravaciones de ningún tipo, ni siquiera las vinculadas con las cargas de familia.</w:t>
      </w:r>
    </w:p>
    <w:p w14:paraId="1BAB57C0" w14:textId="77777777" w:rsidR="00B107CA" w:rsidRPr="009451FB" w:rsidRDefault="00B107CA" w:rsidP="009451FB">
      <w:pPr>
        <w:pStyle w:val="Textoindependiente"/>
        <w:spacing w:before="121"/>
        <w:ind w:left="221" w:right="594"/>
        <w:rPr>
          <w:rFonts w:ascii="Arial" w:hAnsi="Arial" w:cs="Arial"/>
          <w:sz w:val="24"/>
          <w:szCs w:val="24"/>
        </w:rPr>
      </w:pPr>
      <w:r w:rsidRPr="009451FB">
        <w:rPr>
          <w:rFonts w:ascii="Arial" w:hAnsi="Arial" w:cs="Arial"/>
          <w:sz w:val="24"/>
          <w:szCs w:val="24"/>
        </w:rPr>
        <w:t>Las deducciones permitidas por cargas de familia son de particular interés para un análisis de género. Aun cuando las normas no son claras respecto de la justificación de la existencia de tales deducciones. Si se justificaran por el costo adicional en que debe incurrirse para atender las necesidades de cuidado de las personas dependientes, queda claro que el monto de las deducciones resulta insuficiente para cubrir estos</w:t>
      </w:r>
      <w:r w:rsidRPr="009451FB">
        <w:rPr>
          <w:rFonts w:ascii="Arial" w:hAnsi="Arial" w:cs="Arial"/>
          <w:spacing w:val="-4"/>
          <w:sz w:val="24"/>
          <w:szCs w:val="24"/>
        </w:rPr>
        <w:t xml:space="preserve"> </w:t>
      </w:r>
      <w:r w:rsidRPr="009451FB">
        <w:rPr>
          <w:rFonts w:ascii="Arial" w:hAnsi="Arial" w:cs="Arial"/>
          <w:sz w:val="24"/>
          <w:szCs w:val="24"/>
        </w:rPr>
        <w:t>costos.</w:t>
      </w:r>
    </w:p>
    <w:p w14:paraId="175218CD" w14:textId="77777777" w:rsidR="00B107CA" w:rsidRPr="009451FB" w:rsidRDefault="00B107CA" w:rsidP="009451FB">
      <w:pPr>
        <w:pStyle w:val="Textoindependiente"/>
        <w:spacing w:before="119"/>
        <w:ind w:left="221" w:right="590"/>
        <w:rPr>
          <w:rFonts w:ascii="Arial" w:hAnsi="Arial" w:cs="Arial"/>
          <w:sz w:val="24"/>
          <w:szCs w:val="24"/>
        </w:rPr>
      </w:pPr>
      <w:r w:rsidRPr="009451FB">
        <w:rPr>
          <w:rFonts w:ascii="Arial" w:hAnsi="Arial" w:cs="Arial"/>
          <w:sz w:val="24"/>
          <w:szCs w:val="24"/>
        </w:rPr>
        <w:t>Un rasgo positivo del esquema en Argentina es que estas deducciones son permitidas para los contribuyentes de ambos sexos, con independencia de su estado civil, exclusivamente en lo que respecta a los hijos/as, ascendientes y descendientes.</w:t>
      </w:r>
    </w:p>
    <w:p w14:paraId="438E1EDA" w14:textId="77777777" w:rsidR="00B107CA" w:rsidRPr="009451FB" w:rsidRDefault="00B107CA" w:rsidP="009451FB">
      <w:pPr>
        <w:pStyle w:val="Textoindependiente"/>
        <w:spacing w:before="120"/>
        <w:ind w:left="221" w:right="595"/>
        <w:rPr>
          <w:rFonts w:ascii="Arial" w:hAnsi="Arial" w:cs="Arial"/>
          <w:sz w:val="24"/>
          <w:szCs w:val="24"/>
        </w:rPr>
      </w:pPr>
      <w:r w:rsidRPr="009451FB">
        <w:rPr>
          <w:rFonts w:ascii="Arial" w:hAnsi="Arial" w:cs="Arial"/>
          <w:sz w:val="24"/>
          <w:szCs w:val="24"/>
        </w:rPr>
        <w:t>El análisis realizado respecto del impacto que tienen los impuestos directos sobre las distintas composiciones familiares permite algunas conclusiones generales:</w:t>
      </w:r>
    </w:p>
    <w:p w14:paraId="3E427BBE" w14:textId="77777777" w:rsidR="00B107CA" w:rsidRPr="009451FB" w:rsidRDefault="00B107CA" w:rsidP="009451FB">
      <w:pPr>
        <w:pStyle w:val="Prrafodelista"/>
        <w:widowControl w:val="0"/>
        <w:numPr>
          <w:ilvl w:val="0"/>
          <w:numId w:val="17"/>
        </w:numPr>
        <w:tabs>
          <w:tab w:val="left" w:pos="1638"/>
        </w:tabs>
        <w:autoSpaceDE w:val="0"/>
        <w:autoSpaceDN w:val="0"/>
        <w:spacing w:before="121" w:after="0" w:line="240" w:lineRule="auto"/>
        <w:ind w:right="593" w:firstLine="708"/>
        <w:contextualSpacing w:val="0"/>
        <w:jc w:val="both"/>
        <w:rPr>
          <w:rFonts w:ascii="Arial" w:hAnsi="Arial" w:cs="Arial"/>
          <w:sz w:val="24"/>
          <w:szCs w:val="24"/>
        </w:rPr>
      </w:pPr>
      <w:r w:rsidRPr="009451FB">
        <w:rPr>
          <w:rFonts w:ascii="Arial" w:hAnsi="Arial" w:cs="Arial"/>
          <w:i/>
          <w:sz w:val="24"/>
          <w:szCs w:val="24"/>
        </w:rPr>
        <w:t xml:space="preserve">Discriminación formal en las normas de impuesto a las ganancias: </w:t>
      </w:r>
      <w:r w:rsidRPr="009451FB">
        <w:rPr>
          <w:rFonts w:ascii="Arial" w:hAnsi="Arial" w:cs="Arial"/>
          <w:sz w:val="24"/>
          <w:szCs w:val="24"/>
        </w:rPr>
        <w:t>en términos generales, las normas que regulan el impuesto a las ganancias bajo sus diferentes modalidades de percepción no resultan formalmente discriminatorias. Existe, sin embargo, una situación discriminatoria en la regulación en cuanto se atribuye a la esposa sólo algunas de las rentas que puede obtener durante el</w:t>
      </w:r>
      <w:r w:rsidRPr="009451FB">
        <w:rPr>
          <w:rFonts w:ascii="Arial" w:hAnsi="Arial" w:cs="Arial"/>
          <w:spacing w:val="-2"/>
          <w:sz w:val="24"/>
          <w:szCs w:val="24"/>
        </w:rPr>
        <w:t xml:space="preserve"> </w:t>
      </w:r>
      <w:r w:rsidRPr="009451FB">
        <w:rPr>
          <w:rFonts w:ascii="Arial" w:hAnsi="Arial" w:cs="Arial"/>
          <w:sz w:val="24"/>
          <w:szCs w:val="24"/>
        </w:rPr>
        <w:t>matrimonio.</w:t>
      </w:r>
    </w:p>
    <w:p w14:paraId="17920D1B" w14:textId="77777777" w:rsidR="00B107CA" w:rsidRPr="009451FB" w:rsidRDefault="00B107CA" w:rsidP="009451FB">
      <w:pPr>
        <w:pStyle w:val="Prrafodelista"/>
        <w:widowControl w:val="0"/>
        <w:numPr>
          <w:ilvl w:val="0"/>
          <w:numId w:val="17"/>
        </w:numPr>
        <w:tabs>
          <w:tab w:val="left" w:pos="1638"/>
        </w:tabs>
        <w:autoSpaceDE w:val="0"/>
        <w:autoSpaceDN w:val="0"/>
        <w:spacing w:before="91" w:after="0" w:line="240" w:lineRule="auto"/>
        <w:ind w:right="593" w:firstLine="708"/>
        <w:contextualSpacing w:val="0"/>
        <w:jc w:val="both"/>
        <w:rPr>
          <w:rFonts w:ascii="Arial" w:hAnsi="Arial" w:cs="Arial"/>
          <w:sz w:val="24"/>
          <w:szCs w:val="24"/>
        </w:rPr>
      </w:pPr>
      <w:r w:rsidRPr="009451FB">
        <w:rPr>
          <w:rFonts w:ascii="Arial" w:hAnsi="Arial" w:cs="Arial"/>
          <w:i/>
          <w:sz w:val="24"/>
          <w:szCs w:val="24"/>
        </w:rPr>
        <w:t>Discriminación en perjuicio de los hogares encabezados por parejas de hecho</w:t>
      </w:r>
      <w:r w:rsidRPr="009451FB">
        <w:rPr>
          <w:rFonts w:ascii="Arial" w:hAnsi="Arial" w:cs="Arial"/>
          <w:sz w:val="24"/>
          <w:szCs w:val="24"/>
        </w:rPr>
        <w:t>: bajo la modalidad aplicable a los trabajadores asalariados y a los contribuyentes autónomos (en las que se aplican deducciones por cargas de familia) el primer tipo de hogar enfrenta una carga tributaria más gravosa que el segundo. Ello se debe a la imposibilidad de que el perceptor de ingresos se beneficie de la deducción por cónyuge a cargo que la Ley de Impuesto a las Ganancias otorga a las parejas</w:t>
      </w:r>
      <w:r w:rsidRPr="009451FB">
        <w:rPr>
          <w:rFonts w:ascii="Arial" w:hAnsi="Arial" w:cs="Arial"/>
          <w:spacing w:val="-3"/>
          <w:sz w:val="24"/>
          <w:szCs w:val="24"/>
        </w:rPr>
        <w:t xml:space="preserve"> </w:t>
      </w:r>
      <w:r w:rsidRPr="009451FB">
        <w:rPr>
          <w:rFonts w:ascii="Arial" w:hAnsi="Arial" w:cs="Arial"/>
          <w:sz w:val="24"/>
          <w:szCs w:val="24"/>
        </w:rPr>
        <w:t>casadas.</w:t>
      </w:r>
    </w:p>
    <w:p w14:paraId="590D798F" w14:textId="77777777" w:rsidR="00B107CA" w:rsidRPr="009451FB" w:rsidRDefault="00B107CA" w:rsidP="009451FB">
      <w:pPr>
        <w:pStyle w:val="Prrafodelista"/>
        <w:widowControl w:val="0"/>
        <w:numPr>
          <w:ilvl w:val="0"/>
          <w:numId w:val="17"/>
        </w:numPr>
        <w:tabs>
          <w:tab w:val="left" w:pos="1638"/>
        </w:tabs>
        <w:autoSpaceDE w:val="0"/>
        <w:autoSpaceDN w:val="0"/>
        <w:spacing w:before="121" w:after="0" w:line="240" w:lineRule="auto"/>
        <w:ind w:right="591" w:firstLine="708"/>
        <w:contextualSpacing w:val="0"/>
        <w:jc w:val="both"/>
        <w:rPr>
          <w:rFonts w:ascii="Arial" w:hAnsi="Arial" w:cs="Arial"/>
          <w:sz w:val="24"/>
          <w:szCs w:val="24"/>
        </w:rPr>
      </w:pPr>
      <w:r w:rsidRPr="009451FB">
        <w:rPr>
          <w:rFonts w:ascii="Arial" w:hAnsi="Arial" w:cs="Arial"/>
          <w:i/>
          <w:sz w:val="24"/>
          <w:szCs w:val="24"/>
        </w:rPr>
        <w:t>Discriminación en perjuicio de los hogares monoparentales</w:t>
      </w:r>
      <w:r w:rsidRPr="009451FB">
        <w:rPr>
          <w:rFonts w:ascii="Arial" w:hAnsi="Arial" w:cs="Arial"/>
          <w:sz w:val="24"/>
          <w:szCs w:val="24"/>
        </w:rPr>
        <w:t xml:space="preserve">: Los hogares monoparentales enfrentan una carga tributaria más gravosa que los restantes tipos de hogares analizados, bajo la modalidad de recaudación del impuesto aplicable a trabajadores asalariados y autónomos. Esto obedece a dos razones: en primer lugar, por la base individual de la contribución frente al mismo nivel de ingreso global, el hogar con dos perceptores no tributa ganancias porque, individualmente considerados, ninguno alcanza el mínimo no imponible. En segundo lugar, opera el efecto de las deducciones por carga de familia: en los hogares monoparentales no pueden realizar la deducción por cónyuge en su ganancia neta, lo que determina una mayor base imponible y, </w:t>
      </w:r>
      <w:proofErr w:type="gramStart"/>
      <w:r w:rsidRPr="009451FB">
        <w:rPr>
          <w:rFonts w:ascii="Arial" w:hAnsi="Arial" w:cs="Arial"/>
          <w:sz w:val="24"/>
          <w:szCs w:val="24"/>
        </w:rPr>
        <w:t>dado</w:t>
      </w:r>
      <w:proofErr w:type="gramEnd"/>
      <w:r w:rsidRPr="009451FB">
        <w:rPr>
          <w:rFonts w:ascii="Arial" w:hAnsi="Arial" w:cs="Arial"/>
          <w:sz w:val="24"/>
          <w:szCs w:val="24"/>
        </w:rPr>
        <w:t xml:space="preserve"> el carácter progresivo de las alícuotas de contribución, en un mayor nivel de</w:t>
      </w:r>
      <w:r w:rsidRPr="009451FB">
        <w:rPr>
          <w:rFonts w:ascii="Arial" w:hAnsi="Arial" w:cs="Arial"/>
          <w:spacing w:val="-7"/>
          <w:sz w:val="24"/>
          <w:szCs w:val="24"/>
        </w:rPr>
        <w:t xml:space="preserve"> </w:t>
      </w:r>
      <w:r w:rsidRPr="009451FB">
        <w:rPr>
          <w:rFonts w:ascii="Arial" w:hAnsi="Arial" w:cs="Arial"/>
          <w:sz w:val="24"/>
          <w:szCs w:val="24"/>
        </w:rPr>
        <w:t>imposición.</w:t>
      </w:r>
    </w:p>
    <w:p w14:paraId="74FD37FD" w14:textId="77777777" w:rsidR="00B107CA" w:rsidRPr="009451FB" w:rsidRDefault="00B107CA" w:rsidP="009451FB">
      <w:pPr>
        <w:pStyle w:val="Prrafodelista"/>
        <w:widowControl w:val="0"/>
        <w:numPr>
          <w:ilvl w:val="0"/>
          <w:numId w:val="17"/>
        </w:numPr>
        <w:tabs>
          <w:tab w:val="left" w:pos="1638"/>
        </w:tabs>
        <w:autoSpaceDE w:val="0"/>
        <w:autoSpaceDN w:val="0"/>
        <w:spacing w:before="119" w:after="0" w:line="240" w:lineRule="auto"/>
        <w:ind w:right="592" w:firstLine="708"/>
        <w:contextualSpacing w:val="0"/>
        <w:jc w:val="both"/>
        <w:rPr>
          <w:rFonts w:ascii="Arial" w:hAnsi="Arial" w:cs="Arial"/>
          <w:sz w:val="24"/>
          <w:szCs w:val="24"/>
        </w:rPr>
      </w:pPr>
      <w:r w:rsidRPr="009451FB">
        <w:rPr>
          <w:rFonts w:ascii="Arial" w:hAnsi="Arial" w:cs="Arial"/>
          <w:i/>
          <w:sz w:val="24"/>
          <w:szCs w:val="24"/>
        </w:rPr>
        <w:t>Discriminación en perjuicio de los hogares encabezados por monotributistas</w:t>
      </w:r>
      <w:r w:rsidRPr="009451FB">
        <w:rPr>
          <w:rFonts w:ascii="Arial" w:hAnsi="Arial" w:cs="Arial"/>
          <w:sz w:val="24"/>
          <w:szCs w:val="24"/>
        </w:rPr>
        <w:t xml:space="preserve">: Los hogares encabezados por parejas casadas en que ambos cónyuges perciben ingresos enfrentan una carga tributaria más gravosa bajo la modalidad aplicable  a monotributistas que bajo la modalidad correspondiente a los trabajadores asalariados. Dicha </w:t>
      </w:r>
      <w:r w:rsidRPr="009451FB">
        <w:rPr>
          <w:rFonts w:ascii="Arial" w:hAnsi="Arial" w:cs="Arial"/>
          <w:sz w:val="24"/>
          <w:szCs w:val="24"/>
        </w:rPr>
        <w:lastRenderedPageBreak/>
        <w:t>diferencia se debe a que el régimen legal aplicable a los monotributistas no prevé mínimos no imponibles, no permite deducciones por cargas de familia ni de ningún otro tipo.</w:t>
      </w:r>
    </w:p>
    <w:p w14:paraId="3159EB55" w14:textId="77777777" w:rsidR="00B107CA" w:rsidRPr="009451FB" w:rsidRDefault="00B107CA" w:rsidP="009451FB">
      <w:pPr>
        <w:pStyle w:val="Prrafodelista"/>
        <w:widowControl w:val="0"/>
        <w:numPr>
          <w:ilvl w:val="0"/>
          <w:numId w:val="17"/>
        </w:numPr>
        <w:tabs>
          <w:tab w:val="left" w:pos="1638"/>
        </w:tabs>
        <w:autoSpaceDE w:val="0"/>
        <w:autoSpaceDN w:val="0"/>
        <w:spacing w:before="120" w:after="0" w:line="240" w:lineRule="auto"/>
        <w:ind w:right="592" w:firstLine="708"/>
        <w:contextualSpacing w:val="0"/>
        <w:jc w:val="both"/>
        <w:rPr>
          <w:rFonts w:ascii="Arial" w:hAnsi="Arial" w:cs="Arial"/>
          <w:sz w:val="24"/>
          <w:szCs w:val="24"/>
        </w:rPr>
      </w:pPr>
      <w:r w:rsidRPr="009451FB">
        <w:rPr>
          <w:rFonts w:ascii="Arial" w:hAnsi="Arial" w:cs="Arial"/>
          <w:i/>
          <w:sz w:val="24"/>
          <w:szCs w:val="24"/>
        </w:rPr>
        <w:t xml:space="preserve">Diferencias en la cobertura de seguridad social. </w:t>
      </w:r>
      <w:r w:rsidRPr="009451FB">
        <w:rPr>
          <w:rFonts w:ascii="Arial" w:hAnsi="Arial" w:cs="Arial"/>
          <w:sz w:val="24"/>
          <w:szCs w:val="24"/>
        </w:rPr>
        <w:t>Tanto los trabajadores asalariados como los contribuyentes registrados como autónomos o adheridos al régimen simplificado del monotributo realizan pagos con destino a la seguridad social. La enorme disparidad entre los pagos que se hacen en este concepto se traduce luego en importantes diferencias en cuanto a los beneficios que reciben. La cobertura de licencia por maternidad, por caso, sólo se encuentra disponible para las trabajadoras asalariadas. No existe un beneficio similar para los contribuyentes del impuesto a las ganancias registrados como autónomos ni para los pequeños contribuyentes. Tampoco las trabajadoras de servicio doméstico (ni aun cuando se trata de una relación de trabajo dependiente, debidamente registrada) cuentan con cobertura de seguridad social para el caso de maternidad.</w:t>
      </w:r>
    </w:p>
    <w:p w14:paraId="61A5F09F" w14:textId="77777777" w:rsidR="00B107CA" w:rsidRPr="009451FB" w:rsidRDefault="00B107CA" w:rsidP="009451FB">
      <w:pPr>
        <w:pStyle w:val="Textoindependiente"/>
        <w:spacing w:before="121"/>
        <w:ind w:left="221" w:right="592"/>
        <w:rPr>
          <w:rFonts w:ascii="Arial" w:hAnsi="Arial" w:cs="Arial"/>
          <w:sz w:val="24"/>
          <w:szCs w:val="24"/>
        </w:rPr>
      </w:pPr>
      <w:r w:rsidRPr="009451FB">
        <w:rPr>
          <w:rFonts w:ascii="Arial" w:hAnsi="Arial" w:cs="Arial"/>
          <w:sz w:val="24"/>
          <w:szCs w:val="24"/>
        </w:rPr>
        <w:t>Teniendo en cuenta que las mujeres tienden a estar sobre representadas entre las contribuyentes adheridas al régimen simplificado del monotributo, la imposibilidad del régimen de realizar deducciones por cargas de familia o por pagos realizados a trabajadoras de servicio doméstico (recurso generalmente utilizado para las mujeres que ingresan al mercado de empleo, ante la ausencia de servicios de cuidado infantil) tiene un impacto importante. Por otra parte, es alarmante la ausencia de prestaciones de seguridad social vinculadas con la maternidad para todos los casos con la única excepción de las trabajadoras asalariadas.</w:t>
      </w:r>
    </w:p>
    <w:p w14:paraId="360CEE50" w14:textId="45B5D176" w:rsidR="00B107CA" w:rsidRPr="009451FB" w:rsidRDefault="00B107CA" w:rsidP="009451FB">
      <w:pPr>
        <w:pStyle w:val="Textoindependiente"/>
        <w:spacing w:before="120"/>
        <w:ind w:left="221" w:right="594"/>
        <w:rPr>
          <w:rFonts w:ascii="Arial" w:hAnsi="Arial" w:cs="Arial"/>
          <w:color w:val="FF0000"/>
          <w:sz w:val="24"/>
          <w:szCs w:val="24"/>
        </w:rPr>
      </w:pPr>
      <w:r w:rsidRPr="009451FB">
        <w:rPr>
          <w:rFonts w:ascii="Arial" w:hAnsi="Arial" w:cs="Arial"/>
          <w:sz w:val="24"/>
          <w:szCs w:val="24"/>
        </w:rPr>
        <w:t xml:space="preserve">En definitiva, la tributación sobre los ingresos personales en Argentina manifiesta algunos elementos de discriminación explícita e implícita contra las mujeres que deberían corregirse a los efectos de mejorar su potencialidad para fortalecer la equidad de género. </w:t>
      </w:r>
    </w:p>
    <w:p w14:paraId="291F31C7" w14:textId="77777777" w:rsidR="00B107CA" w:rsidRPr="009451FB" w:rsidRDefault="00B107CA" w:rsidP="009451FB">
      <w:pPr>
        <w:pStyle w:val="Textoindependiente"/>
        <w:spacing w:before="120"/>
        <w:ind w:left="221" w:right="595"/>
        <w:rPr>
          <w:rFonts w:ascii="Arial" w:hAnsi="Arial" w:cs="Arial"/>
          <w:sz w:val="24"/>
          <w:szCs w:val="24"/>
        </w:rPr>
      </w:pPr>
      <w:r w:rsidRPr="009451FB">
        <w:rPr>
          <w:rFonts w:ascii="Arial" w:hAnsi="Arial" w:cs="Arial"/>
          <w:sz w:val="24"/>
          <w:szCs w:val="24"/>
        </w:rPr>
        <w:t xml:space="preserve">Respecto de la segunda, debería tenderse a un sistema más homogéneo, que no penalice situaciones particulares de configuración familiar y de nivel de ingreso. Particularmente, debería corregirse la discriminación contra los hogares monoparentales (y las parejas de hecho), así como contra los trabajadores independientes de bajos ingresos </w:t>
      </w:r>
      <w:proofErr w:type="spellStart"/>
      <w:r w:rsidRPr="009451FB">
        <w:rPr>
          <w:rFonts w:ascii="Arial" w:hAnsi="Arial" w:cs="Arial"/>
          <w:sz w:val="24"/>
          <w:szCs w:val="24"/>
        </w:rPr>
        <w:t>monotributistas</w:t>
      </w:r>
      <w:proofErr w:type="spellEnd"/>
      <w:r w:rsidRPr="009451FB">
        <w:rPr>
          <w:rFonts w:ascii="Arial" w:hAnsi="Arial" w:cs="Arial"/>
          <w:sz w:val="24"/>
          <w:szCs w:val="24"/>
        </w:rPr>
        <w:t>). Dado que en estas manifestaciones las mujeres se encuentran sobre- representadas, esta corrección promovería mayor equidad de género.</w:t>
      </w:r>
    </w:p>
    <w:p w14:paraId="2CC57A68" w14:textId="10B34737" w:rsidR="00B107CA" w:rsidRPr="009451FB" w:rsidRDefault="00B107CA" w:rsidP="009451FB">
      <w:pPr>
        <w:pStyle w:val="Textoindependiente"/>
        <w:spacing w:before="121"/>
        <w:ind w:left="221" w:right="590"/>
        <w:rPr>
          <w:rFonts w:ascii="Arial" w:hAnsi="Arial" w:cs="Arial"/>
          <w:sz w:val="24"/>
          <w:szCs w:val="24"/>
        </w:rPr>
      </w:pPr>
      <w:r w:rsidRPr="009451FB">
        <w:rPr>
          <w:rFonts w:ascii="Arial" w:hAnsi="Arial" w:cs="Arial"/>
          <w:sz w:val="24"/>
          <w:szCs w:val="24"/>
        </w:rPr>
        <w:t>Finalmente, deben fortalecerse aquellos elementos que favorecen la equidad de género. El principio de tributación individual es uno de ellos. Como se ha explicado, este es un elemento imprescindible si se quiere que el sistema de tributación sobre los ingresos no des</w:t>
      </w:r>
      <w:r w:rsidR="007A76D2">
        <w:rPr>
          <w:rFonts w:ascii="Arial" w:hAnsi="Arial" w:cs="Arial"/>
          <w:sz w:val="24"/>
          <w:szCs w:val="24"/>
        </w:rPr>
        <w:t>i</w:t>
      </w:r>
      <w:r w:rsidRPr="009451FB">
        <w:rPr>
          <w:rFonts w:ascii="Arial" w:hAnsi="Arial" w:cs="Arial"/>
          <w:sz w:val="24"/>
          <w:szCs w:val="24"/>
        </w:rPr>
        <w:t>ncentive la incorporación de las mujeres al mercado laboral. La posibilidad de que las mujeres cuenten con ingresos propios, es una necesidad a su autonomía económica, y por lo tanto, el sistema de tributación debe ir en consonancia con este imperativo.</w:t>
      </w:r>
    </w:p>
    <w:p w14:paraId="2EF5BCD4" w14:textId="77777777" w:rsidR="00B107CA" w:rsidRPr="009451FB" w:rsidRDefault="00B107CA" w:rsidP="009451FB">
      <w:pPr>
        <w:pStyle w:val="Textoindependiente"/>
        <w:spacing w:before="120"/>
        <w:ind w:left="221" w:right="591"/>
        <w:rPr>
          <w:rFonts w:ascii="Arial" w:hAnsi="Arial" w:cs="Arial"/>
          <w:sz w:val="24"/>
          <w:szCs w:val="24"/>
        </w:rPr>
      </w:pPr>
      <w:r w:rsidRPr="009451FB">
        <w:rPr>
          <w:rFonts w:ascii="Arial" w:hAnsi="Arial" w:cs="Arial"/>
          <w:sz w:val="24"/>
          <w:szCs w:val="24"/>
        </w:rPr>
        <w:t xml:space="preserve">Específicamente, debería promoverse el desarrollo de una política pública de cuidado, que garantice el acceso a servicios de cuidado (infantil y de personas mayores y enfermas) para todas aquellas </w:t>
      </w:r>
      <w:r w:rsidRPr="009451FB">
        <w:rPr>
          <w:rFonts w:ascii="Arial" w:hAnsi="Arial" w:cs="Arial"/>
          <w:sz w:val="24"/>
          <w:szCs w:val="24"/>
        </w:rPr>
        <w:lastRenderedPageBreak/>
        <w:t>personas que lo requieran, en condiciones de equidad, tanto en el acceso, como en la calidad. Si existiese un desarrollo en este sentido, la existencia de las deducciones por carga de familia en la tributación a las ganancias personales podría revisarse.</w:t>
      </w:r>
    </w:p>
    <w:p w14:paraId="2459CAB6" w14:textId="77777777" w:rsidR="00B107CA" w:rsidRPr="009451FB" w:rsidRDefault="00B107CA" w:rsidP="009451FB">
      <w:pPr>
        <w:pStyle w:val="Textoindependiente"/>
        <w:spacing w:before="120"/>
        <w:ind w:left="221" w:right="592"/>
        <w:rPr>
          <w:rFonts w:ascii="Arial" w:hAnsi="Arial" w:cs="Arial"/>
          <w:sz w:val="24"/>
          <w:szCs w:val="24"/>
        </w:rPr>
      </w:pPr>
      <w:r w:rsidRPr="009451FB">
        <w:rPr>
          <w:rFonts w:ascii="Arial" w:hAnsi="Arial" w:cs="Arial"/>
          <w:sz w:val="24"/>
          <w:szCs w:val="24"/>
        </w:rPr>
        <w:t>Las conclusiones del análisis realizado permiten sugerir algunas recomendaciones preliminares:</w:t>
      </w:r>
    </w:p>
    <w:p w14:paraId="23C27CB7" w14:textId="77777777" w:rsidR="00B107CA" w:rsidRPr="009451FB" w:rsidRDefault="00B107CA" w:rsidP="009451FB">
      <w:pPr>
        <w:pStyle w:val="Prrafodelista"/>
        <w:widowControl w:val="0"/>
        <w:numPr>
          <w:ilvl w:val="0"/>
          <w:numId w:val="18"/>
        </w:numPr>
        <w:tabs>
          <w:tab w:val="left" w:pos="1302"/>
        </w:tabs>
        <w:autoSpaceDE w:val="0"/>
        <w:autoSpaceDN w:val="0"/>
        <w:spacing w:before="121" w:after="0" w:line="240" w:lineRule="auto"/>
        <w:ind w:right="520"/>
        <w:contextualSpacing w:val="0"/>
        <w:jc w:val="both"/>
        <w:rPr>
          <w:rFonts w:ascii="Arial" w:hAnsi="Arial" w:cs="Arial"/>
          <w:sz w:val="24"/>
          <w:szCs w:val="24"/>
        </w:rPr>
      </w:pPr>
      <w:r w:rsidRPr="009451FB">
        <w:rPr>
          <w:rFonts w:ascii="Arial" w:hAnsi="Arial" w:cs="Arial"/>
          <w:sz w:val="24"/>
          <w:szCs w:val="24"/>
        </w:rPr>
        <w:t>Para profundizar el análisis de las implicancias del sistema tributario sobre la equidad, general y de género, es imprescindible contar con información relevante disponible. En este sentido, una primera necesidad imperiosa es que el gobierno revea su política de desmantelamiento del sistema estadístico nacional, manipulación de las estadísticas disponibles, y ocultamiento de la información. Sólo partiendo de un diagnóstico lo más riguroso posible, pueden construirse políticas públicas sensatas. Información estadística confiable, de buena calidad, con sistematización período, y público acceso, son requisitos imprescindibles.</w:t>
      </w:r>
    </w:p>
    <w:p w14:paraId="77372EBA" w14:textId="77777777" w:rsidR="00B107CA" w:rsidRPr="009451FB" w:rsidRDefault="00B107CA" w:rsidP="009451FB">
      <w:pPr>
        <w:pStyle w:val="Prrafodelista"/>
        <w:widowControl w:val="0"/>
        <w:numPr>
          <w:ilvl w:val="0"/>
          <w:numId w:val="18"/>
        </w:numPr>
        <w:tabs>
          <w:tab w:val="left" w:pos="1302"/>
        </w:tabs>
        <w:autoSpaceDE w:val="0"/>
        <w:autoSpaceDN w:val="0"/>
        <w:spacing w:before="120" w:after="0" w:line="240" w:lineRule="auto"/>
        <w:ind w:right="523"/>
        <w:contextualSpacing w:val="0"/>
        <w:jc w:val="both"/>
        <w:rPr>
          <w:rFonts w:ascii="Arial" w:hAnsi="Arial" w:cs="Arial"/>
          <w:sz w:val="24"/>
          <w:szCs w:val="24"/>
        </w:rPr>
      </w:pPr>
      <w:r w:rsidRPr="009451FB">
        <w:rPr>
          <w:rFonts w:ascii="Arial" w:hAnsi="Arial" w:cs="Arial"/>
          <w:sz w:val="24"/>
          <w:szCs w:val="24"/>
        </w:rPr>
        <w:t>En esta misma línea, es necesario que la Administración de Ingresos Públicos analice los ingresos provenientes de la recaudación tributaria desagregando la información por sexo, y que prepare sus informes incorporando esta</w:t>
      </w:r>
      <w:r w:rsidRPr="009451FB">
        <w:rPr>
          <w:rFonts w:ascii="Arial" w:hAnsi="Arial" w:cs="Arial"/>
          <w:spacing w:val="-17"/>
          <w:sz w:val="24"/>
          <w:szCs w:val="24"/>
        </w:rPr>
        <w:t xml:space="preserve"> </w:t>
      </w:r>
      <w:r w:rsidRPr="009451FB">
        <w:rPr>
          <w:rFonts w:ascii="Arial" w:hAnsi="Arial" w:cs="Arial"/>
          <w:sz w:val="24"/>
          <w:szCs w:val="24"/>
        </w:rPr>
        <w:t>variable.</w:t>
      </w:r>
    </w:p>
    <w:p w14:paraId="1B0882E5" w14:textId="77777777" w:rsidR="00B107CA" w:rsidRPr="009451FB" w:rsidRDefault="00B107CA" w:rsidP="009451FB">
      <w:pPr>
        <w:pStyle w:val="Prrafodelista"/>
        <w:widowControl w:val="0"/>
        <w:numPr>
          <w:ilvl w:val="0"/>
          <w:numId w:val="18"/>
        </w:numPr>
        <w:tabs>
          <w:tab w:val="left" w:pos="1302"/>
        </w:tabs>
        <w:autoSpaceDE w:val="0"/>
        <w:autoSpaceDN w:val="0"/>
        <w:spacing w:before="121" w:after="0" w:line="240" w:lineRule="auto"/>
        <w:ind w:right="526"/>
        <w:contextualSpacing w:val="0"/>
        <w:jc w:val="both"/>
        <w:rPr>
          <w:rFonts w:ascii="Arial" w:hAnsi="Arial" w:cs="Arial"/>
          <w:sz w:val="24"/>
          <w:szCs w:val="24"/>
        </w:rPr>
      </w:pPr>
      <w:r w:rsidRPr="009451FB">
        <w:rPr>
          <w:rFonts w:ascii="Arial" w:hAnsi="Arial" w:cs="Arial"/>
          <w:sz w:val="24"/>
          <w:szCs w:val="24"/>
        </w:rPr>
        <w:t>Deberían analizarse los mecanismos apropiados para contrarrestar los efectos indeseados de los impuestos sobre las distintas composiciones</w:t>
      </w:r>
      <w:r w:rsidRPr="009451FB">
        <w:rPr>
          <w:rFonts w:ascii="Arial" w:hAnsi="Arial" w:cs="Arial"/>
          <w:spacing w:val="-9"/>
          <w:sz w:val="24"/>
          <w:szCs w:val="24"/>
        </w:rPr>
        <w:t xml:space="preserve"> </w:t>
      </w:r>
      <w:r w:rsidRPr="009451FB">
        <w:rPr>
          <w:rFonts w:ascii="Arial" w:hAnsi="Arial" w:cs="Arial"/>
          <w:sz w:val="24"/>
          <w:szCs w:val="24"/>
        </w:rPr>
        <w:t>familiares.</w:t>
      </w:r>
    </w:p>
    <w:p w14:paraId="30923F45" w14:textId="77777777" w:rsidR="00B107CA" w:rsidRPr="009451FB" w:rsidRDefault="00B107CA" w:rsidP="009451FB">
      <w:pPr>
        <w:pStyle w:val="Prrafodelista"/>
        <w:widowControl w:val="0"/>
        <w:numPr>
          <w:ilvl w:val="0"/>
          <w:numId w:val="18"/>
        </w:numPr>
        <w:tabs>
          <w:tab w:val="left" w:pos="1302"/>
        </w:tabs>
        <w:autoSpaceDE w:val="0"/>
        <w:autoSpaceDN w:val="0"/>
        <w:spacing w:before="120" w:after="0" w:line="240" w:lineRule="auto"/>
        <w:ind w:right="520"/>
        <w:contextualSpacing w:val="0"/>
        <w:jc w:val="both"/>
        <w:rPr>
          <w:rFonts w:ascii="Arial" w:hAnsi="Arial" w:cs="Arial"/>
          <w:sz w:val="24"/>
          <w:szCs w:val="24"/>
        </w:rPr>
      </w:pPr>
      <w:r w:rsidRPr="009451FB">
        <w:rPr>
          <w:rFonts w:ascii="Arial" w:hAnsi="Arial" w:cs="Arial"/>
          <w:sz w:val="24"/>
          <w:szCs w:val="24"/>
        </w:rPr>
        <w:t>Sería aconsejable incorporar a la ley de impuesto a las ganancias una disposición que expresamente faculte a los dos integrantes de parejas, tanto casadas como de hecho, a computar todas las deducciones en concepto de cargas de familia (incluyendo la correspondiente a la</w:t>
      </w:r>
      <w:r w:rsidRPr="009451FB">
        <w:rPr>
          <w:rFonts w:ascii="Arial" w:hAnsi="Arial" w:cs="Arial"/>
          <w:spacing w:val="-6"/>
          <w:sz w:val="24"/>
          <w:szCs w:val="24"/>
        </w:rPr>
        <w:t xml:space="preserve"> </w:t>
      </w:r>
      <w:r w:rsidRPr="009451FB">
        <w:rPr>
          <w:rFonts w:ascii="Arial" w:hAnsi="Arial" w:cs="Arial"/>
          <w:sz w:val="24"/>
          <w:szCs w:val="24"/>
        </w:rPr>
        <w:t>pareja).</w:t>
      </w:r>
    </w:p>
    <w:p w14:paraId="7591F6C1" w14:textId="77777777" w:rsidR="00B107CA" w:rsidRPr="009451FB" w:rsidRDefault="00B107CA" w:rsidP="009451FB">
      <w:pPr>
        <w:pStyle w:val="Prrafodelista"/>
        <w:widowControl w:val="0"/>
        <w:numPr>
          <w:ilvl w:val="0"/>
          <w:numId w:val="18"/>
        </w:numPr>
        <w:tabs>
          <w:tab w:val="left" w:pos="1302"/>
        </w:tabs>
        <w:autoSpaceDE w:val="0"/>
        <w:autoSpaceDN w:val="0"/>
        <w:spacing w:before="120" w:after="0" w:line="240" w:lineRule="auto"/>
        <w:ind w:right="520"/>
        <w:contextualSpacing w:val="0"/>
        <w:jc w:val="both"/>
        <w:rPr>
          <w:rFonts w:ascii="Arial" w:hAnsi="Arial" w:cs="Arial"/>
          <w:sz w:val="24"/>
          <w:szCs w:val="24"/>
        </w:rPr>
      </w:pPr>
      <w:r w:rsidRPr="009451FB">
        <w:rPr>
          <w:rFonts w:ascii="Arial" w:hAnsi="Arial" w:cs="Arial"/>
          <w:sz w:val="24"/>
          <w:szCs w:val="24"/>
        </w:rPr>
        <w:t>En el mismo sentido, a efectos de lograr una mayor equidad entre los distintos tipos de hogares, correspondería prever la posibilidad de que los hogares monoparentales computen las deducciones por cargas de familia al</w:t>
      </w:r>
      <w:r w:rsidRPr="009451FB">
        <w:rPr>
          <w:rFonts w:ascii="Arial" w:hAnsi="Arial" w:cs="Arial"/>
          <w:spacing w:val="-6"/>
          <w:sz w:val="24"/>
          <w:szCs w:val="24"/>
        </w:rPr>
        <w:t xml:space="preserve"> </w:t>
      </w:r>
      <w:r w:rsidRPr="009451FB">
        <w:rPr>
          <w:rFonts w:ascii="Arial" w:hAnsi="Arial" w:cs="Arial"/>
          <w:sz w:val="24"/>
          <w:szCs w:val="24"/>
        </w:rPr>
        <w:t>doble.</w:t>
      </w:r>
    </w:p>
    <w:p w14:paraId="7BB44F42" w14:textId="77777777" w:rsidR="00B107CA" w:rsidRPr="009451FB" w:rsidRDefault="00B107CA" w:rsidP="009451FB">
      <w:pPr>
        <w:spacing w:after="0" w:line="240" w:lineRule="auto"/>
        <w:jc w:val="both"/>
        <w:rPr>
          <w:rFonts w:ascii="Arial" w:hAnsi="Arial" w:cs="Arial"/>
          <w:sz w:val="24"/>
          <w:szCs w:val="24"/>
        </w:rPr>
        <w:sectPr w:rsidR="00B107CA" w:rsidRPr="009451FB" w:rsidSect="009451FB">
          <w:type w:val="continuous"/>
          <w:pgSz w:w="11910" w:h="16840" w:code="9"/>
          <w:pgMar w:top="1417" w:right="1701" w:bottom="1417" w:left="1701" w:header="490" w:footer="961" w:gutter="0"/>
          <w:cols w:space="720"/>
        </w:sectPr>
      </w:pPr>
    </w:p>
    <w:p w14:paraId="4F518EA3" w14:textId="77777777" w:rsidR="00B107CA" w:rsidRPr="009451FB" w:rsidRDefault="00B107CA" w:rsidP="009451FB">
      <w:pPr>
        <w:pStyle w:val="Prrafodelista"/>
        <w:widowControl w:val="0"/>
        <w:numPr>
          <w:ilvl w:val="0"/>
          <w:numId w:val="18"/>
        </w:numPr>
        <w:tabs>
          <w:tab w:val="left" w:pos="1302"/>
        </w:tabs>
        <w:autoSpaceDE w:val="0"/>
        <w:autoSpaceDN w:val="0"/>
        <w:spacing w:before="91" w:after="0" w:line="240" w:lineRule="auto"/>
        <w:ind w:right="520"/>
        <w:contextualSpacing w:val="0"/>
        <w:jc w:val="both"/>
        <w:rPr>
          <w:rFonts w:ascii="Arial" w:hAnsi="Arial" w:cs="Arial"/>
          <w:sz w:val="24"/>
          <w:szCs w:val="24"/>
        </w:rPr>
      </w:pPr>
      <w:r w:rsidRPr="009451FB">
        <w:rPr>
          <w:rFonts w:ascii="Arial" w:hAnsi="Arial" w:cs="Arial"/>
          <w:sz w:val="24"/>
          <w:szCs w:val="24"/>
        </w:rPr>
        <w:t>Todo lo anterior podría revisarse integralmente mediante la implementación de un sistema integrado de transferencias fiscales, que distribuya beneficios universales por cargas de familia, y se financie de manera</w:t>
      </w:r>
      <w:r w:rsidRPr="009451FB">
        <w:rPr>
          <w:rFonts w:ascii="Arial" w:hAnsi="Arial" w:cs="Arial"/>
          <w:spacing w:val="-3"/>
          <w:sz w:val="24"/>
          <w:szCs w:val="24"/>
        </w:rPr>
        <w:t xml:space="preserve"> </w:t>
      </w:r>
      <w:r w:rsidRPr="009451FB">
        <w:rPr>
          <w:rFonts w:ascii="Arial" w:hAnsi="Arial" w:cs="Arial"/>
          <w:sz w:val="24"/>
          <w:szCs w:val="24"/>
        </w:rPr>
        <w:t>progresiva.</w:t>
      </w:r>
    </w:p>
    <w:p w14:paraId="06D9E034" w14:textId="77777777" w:rsidR="00B107CA" w:rsidRPr="009451FB" w:rsidRDefault="00B107CA" w:rsidP="009451FB">
      <w:pPr>
        <w:pStyle w:val="Prrafodelista"/>
        <w:widowControl w:val="0"/>
        <w:numPr>
          <w:ilvl w:val="0"/>
          <w:numId w:val="18"/>
        </w:numPr>
        <w:tabs>
          <w:tab w:val="left" w:pos="1302"/>
        </w:tabs>
        <w:autoSpaceDE w:val="0"/>
        <w:autoSpaceDN w:val="0"/>
        <w:spacing w:before="121" w:after="0" w:line="240" w:lineRule="auto"/>
        <w:ind w:right="521"/>
        <w:contextualSpacing w:val="0"/>
        <w:jc w:val="both"/>
        <w:rPr>
          <w:rFonts w:ascii="Arial" w:hAnsi="Arial" w:cs="Arial"/>
          <w:sz w:val="24"/>
          <w:szCs w:val="24"/>
        </w:rPr>
      </w:pPr>
      <w:r w:rsidRPr="009451FB">
        <w:rPr>
          <w:rFonts w:ascii="Arial" w:hAnsi="Arial" w:cs="Arial"/>
          <w:sz w:val="24"/>
          <w:szCs w:val="24"/>
        </w:rPr>
        <w:t>Resulta imperioso revisar la larga lista de exenciones en el impuesto a las ganancias, que por las múltiples razones detalladas en este trabajo, son fuente de inequidad vertical y horizontal.</w:t>
      </w:r>
    </w:p>
    <w:p w14:paraId="6F7AEE53" w14:textId="77777777" w:rsidR="00B107CA" w:rsidRPr="009451FB" w:rsidRDefault="00B107CA" w:rsidP="009451FB">
      <w:pPr>
        <w:pStyle w:val="Prrafodelista"/>
        <w:widowControl w:val="0"/>
        <w:numPr>
          <w:ilvl w:val="0"/>
          <w:numId w:val="18"/>
        </w:numPr>
        <w:tabs>
          <w:tab w:val="left" w:pos="1302"/>
        </w:tabs>
        <w:autoSpaceDE w:val="0"/>
        <w:autoSpaceDN w:val="0"/>
        <w:spacing w:before="120" w:after="0" w:line="240" w:lineRule="auto"/>
        <w:ind w:right="521"/>
        <w:contextualSpacing w:val="0"/>
        <w:jc w:val="both"/>
        <w:rPr>
          <w:rFonts w:ascii="Arial" w:hAnsi="Arial" w:cs="Arial"/>
          <w:sz w:val="24"/>
          <w:szCs w:val="24"/>
        </w:rPr>
      </w:pPr>
      <w:r w:rsidRPr="009451FB">
        <w:rPr>
          <w:rFonts w:ascii="Arial" w:hAnsi="Arial" w:cs="Arial"/>
          <w:sz w:val="24"/>
          <w:szCs w:val="24"/>
        </w:rPr>
        <w:t>Finalmente, es imprescindible establecer los mecanismos adecuados que otorguen cobertura de seguridad social en lo referente a la maternidad en otras formas de empleo, además del caso del trabajo</w:t>
      </w:r>
      <w:r w:rsidRPr="009451FB">
        <w:rPr>
          <w:rFonts w:ascii="Arial" w:hAnsi="Arial" w:cs="Arial"/>
          <w:spacing w:val="-2"/>
          <w:sz w:val="24"/>
          <w:szCs w:val="24"/>
        </w:rPr>
        <w:t xml:space="preserve"> </w:t>
      </w:r>
      <w:r w:rsidRPr="009451FB">
        <w:rPr>
          <w:rFonts w:ascii="Arial" w:hAnsi="Arial" w:cs="Arial"/>
          <w:sz w:val="24"/>
          <w:szCs w:val="24"/>
        </w:rPr>
        <w:t>asalariado.</w:t>
      </w:r>
    </w:p>
    <w:p w14:paraId="5A15D246" w14:textId="77777777" w:rsidR="00B107CA" w:rsidRPr="009451FB" w:rsidRDefault="00B107CA" w:rsidP="009451FB">
      <w:pPr>
        <w:pStyle w:val="Textoindependiente"/>
        <w:spacing w:before="8"/>
        <w:rPr>
          <w:rFonts w:ascii="Arial" w:hAnsi="Arial" w:cs="Arial"/>
          <w:sz w:val="24"/>
          <w:szCs w:val="24"/>
        </w:rPr>
      </w:pPr>
    </w:p>
    <w:p w14:paraId="1230A578" w14:textId="77777777" w:rsidR="00B107CA" w:rsidRPr="009451FB" w:rsidRDefault="00B107CA" w:rsidP="009451FB">
      <w:pPr>
        <w:pStyle w:val="Textoindependiente"/>
        <w:ind w:left="221" w:right="588"/>
        <w:rPr>
          <w:rFonts w:ascii="Arial" w:hAnsi="Arial" w:cs="Arial"/>
          <w:sz w:val="24"/>
          <w:szCs w:val="24"/>
        </w:rPr>
      </w:pPr>
      <w:r w:rsidRPr="009451FB">
        <w:rPr>
          <w:rFonts w:ascii="Arial" w:hAnsi="Arial" w:cs="Arial"/>
          <w:sz w:val="24"/>
          <w:szCs w:val="24"/>
        </w:rPr>
        <w:lastRenderedPageBreak/>
        <w:t>La evaluación de estos aspectos no debería estar ausente de las consideraciones de funcionarios/as e integrantes del Congreso Nacional al discutir cambios en las políticas tributarias. La perspectiva de género, con el objeto de visibilizar el impacto diferencial que los tributos pueden tener sobre varones y mujeres y sobre sus distintas composiciones familiares, debería integrarse a la discusión de un sistema tributario para la República Argentina.</w:t>
      </w:r>
    </w:p>
    <w:p w14:paraId="6F489E7E" w14:textId="77777777" w:rsidR="00B107CA" w:rsidRPr="009451FB" w:rsidRDefault="00B107CA" w:rsidP="009451FB">
      <w:pPr>
        <w:pStyle w:val="Textoindependiente"/>
        <w:spacing w:before="91"/>
        <w:ind w:left="221" w:right="596"/>
        <w:rPr>
          <w:rFonts w:ascii="Arial" w:hAnsi="Arial" w:cs="Arial"/>
          <w:sz w:val="24"/>
          <w:szCs w:val="24"/>
        </w:rPr>
      </w:pPr>
    </w:p>
    <w:p w14:paraId="63B6D139" w14:textId="13926A3D" w:rsidR="00F971C4" w:rsidRPr="009451FB" w:rsidRDefault="00412A93" w:rsidP="009451FB">
      <w:pPr>
        <w:spacing w:line="240" w:lineRule="auto"/>
        <w:jc w:val="both"/>
        <w:rPr>
          <w:rFonts w:ascii="Arial" w:hAnsi="Arial" w:cs="Arial"/>
          <w:b/>
          <w:bCs/>
          <w:sz w:val="24"/>
          <w:szCs w:val="24"/>
          <w:u w:val="single"/>
        </w:rPr>
      </w:pPr>
      <w:bookmarkStart w:id="7" w:name="_Hlk54270723"/>
      <w:r w:rsidRPr="009451FB">
        <w:rPr>
          <w:rFonts w:ascii="Arial" w:hAnsi="Arial" w:cs="Arial"/>
          <w:b/>
          <w:bCs/>
          <w:sz w:val="24"/>
          <w:szCs w:val="24"/>
          <w:u w:val="single"/>
        </w:rPr>
        <w:t xml:space="preserve">5. </w:t>
      </w:r>
      <w:r w:rsidR="004414C0" w:rsidRPr="009451FB">
        <w:rPr>
          <w:rFonts w:ascii="Arial" w:hAnsi="Arial" w:cs="Arial"/>
          <w:b/>
          <w:bCs/>
          <w:sz w:val="24"/>
          <w:szCs w:val="24"/>
          <w:u w:val="single"/>
        </w:rPr>
        <w:t>a economía del cuidado. El trabajo doméstico y de cuidado no remunerado. La crisis del cuidado</w:t>
      </w:r>
      <w:bookmarkEnd w:id="7"/>
      <w:r w:rsidR="004414C0" w:rsidRPr="009451FB">
        <w:rPr>
          <w:rFonts w:ascii="Arial" w:hAnsi="Arial" w:cs="Arial"/>
          <w:b/>
          <w:bCs/>
          <w:sz w:val="24"/>
          <w:szCs w:val="24"/>
          <w:u w:val="single"/>
        </w:rPr>
        <w:t xml:space="preserve">. </w:t>
      </w:r>
    </w:p>
    <w:p w14:paraId="3C95BF7C" w14:textId="57AA2F48" w:rsidR="004414C0" w:rsidRPr="009451FB" w:rsidRDefault="004414C0" w:rsidP="009451FB">
      <w:pPr>
        <w:spacing w:line="240" w:lineRule="auto"/>
        <w:jc w:val="both"/>
        <w:rPr>
          <w:rFonts w:ascii="Arial" w:hAnsi="Arial" w:cs="Arial"/>
          <w:sz w:val="24"/>
          <w:szCs w:val="24"/>
        </w:rPr>
      </w:pPr>
      <w:r w:rsidRPr="009451FB">
        <w:rPr>
          <w:rFonts w:ascii="Arial" w:hAnsi="Arial" w:cs="Arial"/>
          <w:sz w:val="24"/>
          <w:szCs w:val="24"/>
        </w:rPr>
        <w:t xml:space="preserve">Los cuidados, un sector económico estratégico </w:t>
      </w:r>
      <w:r w:rsidR="00331B30" w:rsidRPr="009451FB">
        <w:rPr>
          <w:rFonts w:ascii="Arial" w:hAnsi="Arial" w:cs="Arial"/>
          <w:sz w:val="24"/>
          <w:szCs w:val="24"/>
        </w:rPr>
        <w:t>“</w:t>
      </w:r>
      <w:r w:rsidRPr="009451FB">
        <w:rPr>
          <w:rFonts w:ascii="Arial" w:hAnsi="Arial" w:cs="Arial"/>
          <w:sz w:val="24"/>
          <w:szCs w:val="24"/>
        </w:rPr>
        <w:t>Medición del aporte del Trabajo doméstico y de cuidados no remunerado al Producto Interno Bruto.</w:t>
      </w:r>
      <w:r w:rsidR="00331B30" w:rsidRPr="009451FB">
        <w:rPr>
          <w:rFonts w:ascii="Arial" w:hAnsi="Arial" w:cs="Arial"/>
          <w:sz w:val="24"/>
          <w:szCs w:val="24"/>
        </w:rPr>
        <w:t xml:space="preserve">” Informe elaborado por el </w:t>
      </w:r>
      <w:r w:rsidRPr="009451FB">
        <w:rPr>
          <w:rFonts w:ascii="Arial" w:hAnsi="Arial" w:cs="Arial"/>
          <w:sz w:val="24"/>
          <w:szCs w:val="24"/>
        </w:rPr>
        <w:t>Ministerio de Economía. Secretaría de Política Económica. Dirección Nacional de Economía, Igualdad y Género.</w:t>
      </w:r>
    </w:p>
    <w:p w14:paraId="7390E7FF" w14:textId="45CCAA33" w:rsidR="004414C0" w:rsidRPr="009451FB" w:rsidRDefault="004414C0" w:rsidP="009451FB">
      <w:pPr>
        <w:spacing w:line="240" w:lineRule="auto"/>
        <w:jc w:val="both"/>
        <w:rPr>
          <w:rFonts w:ascii="Arial" w:hAnsi="Arial" w:cs="Arial"/>
          <w:sz w:val="24"/>
          <w:szCs w:val="24"/>
        </w:rPr>
      </w:pPr>
      <w:r w:rsidRPr="009451FB">
        <w:rPr>
          <w:rFonts w:ascii="Arial" w:hAnsi="Arial" w:cs="Arial"/>
          <w:sz w:val="24"/>
          <w:szCs w:val="24"/>
        </w:rPr>
        <w:t>La ley 27.532 dispuso que el INDEC realizará</w:t>
      </w:r>
      <w:r w:rsidR="00675973" w:rsidRPr="009451FB">
        <w:rPr>
          <w:rFonts w:ascii="Arial" w:hAnsi="Arial" w:cs="Arial"/>
          <w:sz w:val="24"/>
          <w:szCs w:val="24"/>
        </w:rPr>
        <w:t xml:space="preserve">, como un módulo de la Encuesta Permanente de Hogares (EPH), </w:t>
      </w:r>
      <w:r w:rsidRPr="009451FB">
        <w:rPr>
          <w:rFonts w:ascii="Arial" w:hAnsi="Arial" w:cs="Arial"/>
          <w:sz w:val="24"/>
          <w:szCs w:val="24"/>
        </w:rPr>
        <w:t xml:space="preserve">una Encuesta Nacional del Uso del Tiempo </w:t>
      </w:r>
      <w:r w:rsidR="00331B30" w:rsidRPr="009451FB">
        <w:rPr>
          <w:rFonts w:ascii="Arial" w:hAnsi="Arial" w:cs="Arial"/>
          <w:sz w:val="24"/>
          <w:szCs w:val="24"/>
        </w:rPr>
        <w:t xml:space="preserve">– ENUT - </w:t>
      </w:r>
      <w:r w:rsidRPr="009451FB">
        <w:rPr>
          <w:rFonts w:ascii="Arial" w:hAnsi="Arial" w:cs="Arial"/>
          <w:sz w:val="24"/>
          <w:szCs w:val="24"/>
        </w:rPr>
        <w:t>a fin de registrar en la Cuenta Satélite de las Cuentas Nacionales la incidencia en el PBI del trabajo doméstico y de cuidado no remunerado, de autocuidado, con perspectiva de género</w:t>
      </w:r>
      <w:r w:rsidR="00C67E40" w:rsidRPr="009451FB">
        <w:rPr>
          <w:rFonts w:ascii="Arial" w:hAnsi="Arial" w:cs="Arial"/>
          <w:sz w:val="24"/>
          <w:szCs w:val="24"/>
        </w:rPr>
        <w:t>. La primera ENUT se realizará en el año 2021, pero sin embargo contamos con este relevamiento previo del Ministerio de Economía que arroja luz sobre la dinámica de este Sector Económico que es el trabajo invisible que hace posible el desempeño de todos los sectores de la Economía.</w:t>
      </w:r>
    </w:p>
    <w:p w14:paraId="02F0164B" w14:textId="5BED82DD" w:rsidR="00C67E40" w:rsidRPr="009451FB" w:rsidRDefault="00C67E40" w:rsidP="009451FB">
      <w:pPr>
        <w:spacing w:line="240" w:lineRule="auto"/>
        <w:jc w:val="both"/>
        <w:rPr>
          <w:rFonts w:ascii="Arial" w:hAnsi="Arial" w:cs="Arial"/>
          <w:sz w:val="24"/>
          <w:szCs w:val="24"/>
        </w:rPr>
      </w:pPr>
      <w:r w:rsidRPr="009451FB">
        <w:rPr>
          <w:rFonts w:ascii="Arial" w:hAnsi="Arial" w:cs="Arial"/>
          <w:sz w:val="24"/>
          <w:szCs w:val="24"/>
        </w:rPr>
        <w:t xml:space="preserve">El Trabajo Doméstico y de Cuidado No Remunerado (TDCNR) es el trabajo de preparación de alimentos, higiene doméstica, cuidado de niños, personas mayores y enfermas, tareas de apoyo escolar, que crean el entorno propicio para </w:t>
      </w:r>
      <w:r w:rsidR="000371B1" w:rsidRPr="009451FB">
        <w:rPr>
          <w:rFonts w:ascii="Arial" w:hAnsi="Arial" w:cs="Arial"/>
          <w:sz w:val="24"/>
          <w:szCs w:val="24"/>
        </w:rPr>
        <w:t>que se pueda trabajar, estudiar o disfrutar del ocio. Nueve de cada Diez mujeres realizan estas tareas que significan 6,4 horas diarias, ellas dedican tres veces más tiempo que los varones.</w:t>
      </w:r>
    </w:p>
    <w:p w14:paraId="08B969F1" w14:textId="41C23712" w:rsidR="000371B1" w:rsidRPr="009451FB" w:rsidRDefault="000371B1" w:rsidP="009451FB">
      <w:pPr>
        <w:spacing w:line="240" w:lineRule="auto"/>
        <w:jc w:val="both"/>
        <w:rPr>
          <w:rFonts w:ascii="Arial" w:hAnsi="Arial" w:cs="Arial"/>
          <w:sz w:val="24"/>
          <w:szCs w:val="24"/>
        </w:rPr>
      </w:pPr>
      <w:r w:rsidRPr="009451FB">
        <w:rPr>
          <w:rFonts w:ascii="Arial" w:hAnsi="Arial" w:cs="Arial"/>
          <w:sz w:val="24"/>
          <w:szCs w:val="24"/>
        </w:rPr>
        <w:t>“…Esta distribución asimétrica contribuye a explicar que su participación en el mercado laboral sea más baja que la de los varones. También incide en que tengan trabajos más precarios, que implican a su vez una mayor desprotección social; por ejemplo no tener acceso a una obra social y, en un futuro, tener una mayor dificultad para acceder a una jubilación por no tener aportes. Las mujeres presentan mayores niveles de desocupación, ganan menos y, por consiguiente, son más pobres. En este sentido, es imprescindible entender que las condiciones del trabajo remunerado están estrechamente ligadas a cómo se resuelven las tareas no remuneradas…”</w:t>
      </w:r>
    </w:p>
    <w:p w14:paraId="18E62E29" w14:textId="1CCDFA5B" w:rsidR="000371B1" w:rsidRPr="009451FB" w:rsidRDefault="000371B1" w:rsidP="009451FB">
      <w:pPr>
        <w:spacing w:line="240" w:lineRule="auto"/>
        <w:jc w:val="both"/>
        <w:rPr>
          <w:rFonts w:ascii="Arial" w:hAnsi="Arial" w:cs="Arial"/>
          <w:sz w:val="24"/>
          <w:szCs w:val="24"/>
        </w:rPr>
      </w:pPr>
      <w:r w:rsidRPr="009451FB">
        <w:rPr>
          <w:rFonts w:ascii="Arial" w:hAnsi="Arial" w:cs="Arial"/>
          <w:sz w:val="24"/>
          <w:szCs w:val="24"/>
        </w:rPr>
        <w:t xml:space="preserve">Sin embargo este trabajo doméstico queda invisibilizado al no ser tomado en cuenta en el cómputo del PBI ni </w:t>
      </w:r>
      <w:r w:rsidR="00331B30" w:rsidRPr="009451FB">
        <w:rPr>
          <w:rFonts w:ascii="Arial" w:hAnsi="Arial" w:cs="Arial"/>
          <w:sz w:val="24"/>
          <w:szCs w:val="24"/>
        </w:rPr>
        <w:t xml:space="preserve">en </w:t>
      </w:r>
      <w:r w:rsidRPr="009451FB">
        <w:rPr>
          <w:rFonts w:ascii="Arial" w:hAnsi="Arial" w:cs="Arial"/>
          <w:sz w:val="24"/>
          <w:szCs w:val="24"/>
        </w:rPr>
        <w:t>las cuentas nacionales, monetizar y estimar el TDCNR es una forma de poner en primera plana el aporte de este sector indispensable para poner  la economía en funcionamiento.</w:t>
      </w:r>
    </w:p>
    <w:p w14:paraId="447E5D8F" w14:textId="09FD0F65" w:rsidR="000371B1" w:rsidRPr="009451FB" w:rsidRDefault="000371B1" w:rsidP="009451FB">
      <w:pPr>
        <w:spacing w:line="240" w:lineRule="auto"/>
        <w:jc w:val="both"/>
        <w:rPr>
          <w:rFonts w:ascii="Arial" w:hAnsi="Arial" w:cs="Arial"/>
          <w:sz w:val="24"/>
          <w:szCs w:val="24"/>
        </w:rPr>
      </w:pPr>
      <w:r w:rsidRPr="009451FB">
        <w:rPr>
          <w:rFonts w:ascii="Arial" w:hAnsi="Arial" w:cs="Arial"/>
          <w:b/>
          <w:bCs/>
          <w:sz w:val="24"/>
          <w:szCs w:val="24"/>
        </w:rPr>
        <w:t>Las mujeres realizan más del 75% de las tareas domésticas no remuneradas</w:t>
      </w:r>
      <w:r w:rsidRPr="009451FB">
        <w:rPr>
          <w:rFonts w:ascii="Arial" w:hAnsi="Arial" w:cs="Arial"/>
          <w:sz w:val="24"/>
          <w:szCs w:val="24"/>
        </w:rPr>
        <w:t xml:space="preserve">. El 88,9% de las mujeres participan de estas tareas y les dedican en promedio 6,4 horas diarias. Mientras tanto, sólo el 57,9% de los varones </w:t>
      </w:r>
      <w:r w:rsidRPr="009451FB">
        <w:rPr>
          <w:rFonts w:ascii="Arial" w:hAnsi="Arial" w:cs="Arial"/>
          <w:sz w:val="24"/>
          <w:szCs w:val="24"/>
        </w:rPr>
        <w:lastRenderedPageBreak/>
        <w:t>participa en estos trabajos, a los que les dedican un promedio de 3,4 horas diarias.</w:t>
      </w:r>
    </w:p>
    <w:p w14:paraId="7513A0DA" w14:textId="436739D2" w:rsidR="000371B1" w:rsidRPr="009451FB" w:rsidRDefault="00094E12" w:rsidP="009451FB">
      <w:pPr>
        <w:spacing w:line="240" w:lineRule="auto"/>
        <w:jc w:val="both"/>
        <w:rPr>
          <w:rFonts w:ascii="Arial" w:hAnsi="Arial" w:cs="Arial"/>
          <w:sz w:val="24"/>
          <w:szCs w:val="24"/>
        </w:rPr>
      </w:pPr>
      <w:r w:rsidRPr="009451FB">
        <w:rPr>
          <w:rFonts w:ascii="Arial" w:hAnsi="Arial" w:cs="Arial"/>
          <w:sz w:val="24"/>
          <w:szCs w:val="24"/>
        </w:rPr>
        <w:t>Las tareas domésticas y de cuidado no remunerado aportan el 16% del PBI, más que el Sector Comercio con el 13% y la Industria con el 13,2</w:t>
      </w:r>
      <w:proofErr w:type="gramStart"/>
      <w:r w:rsidRPr="009451FB">
        <w:rPr>
          <w:rFonts w:ascii="Arial" w:hAnsi="Arial" w:cs="Arial"/>
          <w:sz w:val="24"/>
          <w:szCs w:val="24"/>
        </w:rPr>
        <w:t>% ,</w:t>
      </w:r>
      <w:proofErr w:type="gramEnd"/>
      <w:r w:rsidRPr="009451FB">
        <w:rPr>
          <w:rFonts w:ascii="Arial" w:hAnsi="Arial" w:cs="Arial"/>
          <w:sz w:val="24"/>
          <w:szCs w:val="24"/>
        </w:rPr>
        <w:t xml:space="preserve"> se trata de unas 96 millones de horas diarias y 4.000.000 millones de pesos , resultantes de monetizar esta cantidad de horas de trabajo doméstico que se realizan en todos los hogares argentinos, todos los días.</w:t>
      </w:r>
    </w:p>
    <w:p w14:paraId="6A220554" w14:textId="1C02F50D" w:rsidR="00094E12" w:rsidRPr="009451FB" w:rsidRDefault="00094E12" w:rsidP="009451FB">
      <w:pPr>
        <w:spacing w:line="240" w:lineRule="auto"/>
        <w:jc w:val="both"/>
        <w:rPr>
          <w:rFonts w:ascii="Arial" w:hAnsi="Arial" w:cs="Arial"/>
          <w:sz w:val="24"/>
          <w:szCs w:val="24"/>
        </w:rPr>
      </w:pPr>
      <w:r w:rsidRPr="009451FB">
        <w:rPr>
          <w:rFonts w:ascii="Arial" w:hAnsi="Arial" w:cs="Arial"/>
          <w:sz w:val="24"/>
          <w:szCs w:val="24"/>
        </w:rPr>
        <w:t xml:space="preserve">El Informe también analiza cómo esta situación se ha agravado con la Pandemia de Covid-19, mientras que muchos sectores registraron caídas en su nivel de actividad, el trasladar las tareas escolares y todas las tareas domésticas de alimentación y limpieza al hogar, ocasionó que la participación de las TDCNR en el PBI ascendiera </w:t>
      </w:r>
      <w:proofErr w:type="gramStart"/>
      <w:r w:rsidRPr="009451FB">
        <w:rPr>
          <w:rFonts w:ascii="Arial" w:hAnsi="Arial" w:cs="Arial"/>
          <w:sz w:val="24"/>
          <w:szCs w:val="24"/>
        </w:rPr>
        <w:t>a el</w:t>
      </w:r>
      <w:proofErr w:type="gramEnd"/>
      <w:r w:rsidRPr="009451FB">
        <w:rPr>
          <w:rFonts w:ascii="Arial" w:hAnsi="Arial" w:cs="Arial"/>
          <w:sz w:val="24"/>
          <w:szCs w:val="24"/>
        </w:rPr>
        <w:t xml:space="preserve"> 21,80%</w:t>
      </w:r>
      <w:r w:rsidR="00331B30" w:rsidRPr="009451FB">
        <w:rPr>
          <w:rFonts w:ascii="Arial" w:hAnsi="Arial" w:cs="Arial"/>
          <w:sz w:val="24"/>
          <w:szCs w:val="24"/>
        </w:rPr>
        <w:t>.</w:t>
      </w:r>
    </w:p>
    <w:p w14:paraId="387FC2D9" w14:textId="58A90E0C" w:rsidR="00331B30" w:rsidRPr="009451FB" w:rsidRDefault="00331B30" w:rsidP="009451FB">
      <w:pPr>
        <w:spacing w:line="240" w:lineRule="auto"/>
        <w:jc w:val="both"/>
        <w:rPr>
          <w:rFonts w:ascii="Arial" w:hAnsi="Arial" w:cs="Arial"/>
          <w:sz w:val="24"/>
          <w:szCs w:val="24"/>
        </w:rPr>
      </w:pPr>
      <w:r w:rsidRPr="009451FB">
        <w:rPr>
          <w:rFonts w:ascii="Arial" w:hAnsi="Arial" w:cs="Arial"/>
          <w:sz w:val="24"/>
          <w:szCs w:val="24"/>
        </w:rPr>
        <w:t>Lejos de apagarse con la Pandemia, la Economía del Cuidado se enciende y sostiene todo el entramado social.</w:t>
      </w:r>
    </w:p>
    <w:p w14:paraId="688CCDE1" w14:textId="4713CC02" w:rsidR="00C34A37" w:rsidRPr="009451FB" w:rsidRDefault="00C34A37" w:rsidP="009451FB">
      <w:pPr>
        <w:spacing w:line="240" w:lineRule="auto"/>
        <w:jc w:val="both"/>
        <w:rPr>
          <w:rFonts w:ascii="Arial" w:hAnsi="Arial" w:cs="Arial"/>
          <w:sz w:val="24"/>
          <w:szCs w:val="24"/>
        </w:rPr>
      </w:pPr>
      <w:r w:rsidRPr="009451FB">
        <w:rPr>
          <w:rFonts w:ascii="Arial" w:hAnsi="Arial" w:cs="Arial"/>
          <w:sz w:val="24"/>
          <w:szCs w:val="24"/>
        </w:rPr>
        <w:t>Tasa de participación y tiempo promedio dedicado a tareas domésticas y de cuidados no remuneradas por género</w:t>
      </w:r>
    </w:p>
    <w:p w14:paraId="653C961D" w14:textId="4D85CC51" w:rsidR="00C34A37" w:rsidRPr="009451FB" w:rsidRDefault="00C34A37" w:rsidP="009451FB">
      <w:pPr>
        <w:spacing w:line="240" w:lineRule="auto"/>
        <w:jc w:val="both"/>
        <w:rPr>
          <w:rFonts w:ascii="Arial" w:hAnsi="Arial" w:cs="Arial"/>
          <w:sz w:val="24"/>
          <w:szCs w:val="24"/>
        </w:rPr>
      </w:pPr>
      <w:r w:rsidRPr="009451FB">
        <w:rPr>
          <w:rFonts w:ascii="Arial" w:hAnsi="Arial" w:cs="Arial"/>
          <w:noProof/>
          <w:sz w:val="24"/>
          <w:szCs w:val="24"/>
          <w:lang w:eastAsia="es-AR"/>
        </w:rPr>
        <w:drawing>
          <wp:inline distT="0" distB="0" distL="0" distR="0" wp14:anchorId="0C11BC09" wp14:editId="241B7C8C">
            <wp:extent cx="5400040" cy="2509520"/>
            <wp:effectExtent l="0" t="0" r="0" b="5080"/>
            <wp:docPr id="3" name="Imagen 3"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abla&#10;&#10;Descripción generada automáticamente"/>
                    <pic:cNvPicPr/>
                  </pic:nvPicPr>
                  <pic:blipFill>
                    <a:blip r:embed="rId28">
                      <a:extLst>
                        <a:ext uri="{28A0092B-C50C-407E-A947-70E740481C1C}">
                          <a14:useLocalDpi xmlns:a14="http://schemas.microsoft.com/office/drawing/2010/main" val="0"/>
                        </a:ext>
                      </a:extLst>
                    </a:blip>
                    <a:stretch>
                      <a:fillRect/>
                    </a:stretch>
                  </pic:blipFill>
                  <pic:spPr>
                    <a:xfrm>
                      <a:off x="0" y="0"/>
                      <a:ext cx="5400040" cy="2509520"/>
                    </a:xfrm>
                    <a:prstGeom prst="rect">
                      <a:avLst/>
                    </a:prstGeom>
                  </pic:spPr>
                </pic:pic>
              </a:graphicData>
            </a:graphic>
          </wp:inline>
        </w:drawing>
      </w:r>
    </w:p>
    <w:p w14:paraId="1AB1CA70" w14:textId="77777777" w:rsidR="00094E12" w:rsidRPr="009451FB" w:rsidRDefault="00094E12" w:rsidP="009451FB">
      <w:pPr>
        <w:spacing w:line="240" w:lineRule="auto"/>
        <w:jc w:val="both"/>
        <w:rPr>
          <w:rFonts w:ascii="Arial" w:hAnsi="Arial" w:cs="Arial"/>
          <w:sz w:val="24"/>
          <w:szCs w:val="24"/>
        </w:rPr>
      </w:pPr>
    </w:p>
    <w:p w14:paraId="54A5FE8E" w14:textId="7618FFF3" w:rsidR="00094E12" w:rsidRPr="009451FB" w:rsidRDefault="00FF36F4" w:rsidP="009451FB">
      <w:pPr>
        <w:spacing w:line="240" w:lineRule="auto"/>
        <w:jc w:val="both"/>
        <w:rPr>
          <w:rFonts w:ascii="Arial" w:hAnsi="Arial" w:cs="Arial"/>
          <w:b/>
          <w:bCs/>
          <w:sz w:val="24"/>
          <w:szCs w:val="24"/>
          <w:u w:val="single"/>
        </w:rPr>
      </w:pPr>
      <w:r w:rsidRPr="009451FB">
        <w:rPr>
          <w:rFonts w:ascii="Arial" w:hAnsi="Arial" w:cs="Arial"/>
          <w:b/>
          <w:bCs/>
          <w:sz w:val="24"/>
          <w:szCs w:val="24"/>
          <w:u w:val="single"/>
        </w:rPr>
        <w:t xml:space="preserve">5.1 </w:t>
      </w:r>
      <w:r w:rsidR="00C34A37" w:rsidRPr="009451FB">
        <w:rPr>
          <w:rFonts w:ascii="Arial" w:hAnsi="Arial" w:cs="Arial"/>
          <w:b/>
          <w:bCs/>
          <w:sz w:val="24"/>
          <w:szCs w:val="24"/>
          <w:u w:val="single"/>
        </w:rPr>
        <w:t>La crisis del cuidado</w:t>
      </w:r>
    </w:p>
    <w:p w14:paraId="381FFB93" w14:textId="5133053D" w:rsidR="00635648" w:rsidRPr="009451FB" w:rsidRDefault="00635648" w:rsidP="009451FB">
      <w:pPr>
        <w:spacing w:line="240" w:lineRule="auto"/>
        <w:jc w:val="both"/>
        <w:rPr>
          <w:rFonts w:ascii="Arial" w:hAnsi="Arial" w:cs="Arial"/>
          <w:sz w:val="24"/>
          <w:szCs w:val="24"/>
        </w:rPr>
      </w:pPr>
      <w:r w:rsidRPr="009451FB">
        <w:rPr>
          <w:rFonts w:ascii="Arial" w:hAnsi="Arial" w:cs="Arial"/>
          <w:sz w:val="24"/>
          <w:szCs w:val="24"/>
        </w:rPr>
        <w:t xml:space="preserve">En numerosos países se viene dando la crisis de los cuidados, que podríamos definir como la dificultad de numerosos sectores de la población para cuidarse, cuidar o ser cuidados. Esta crisis se genera con una desestabilización del reparto de las tareas de cuidado en el hogar, </w:t>
      </w:r>
      <w:r w:rsidR="00E03120" w:rsidRPr="009451FB">
        <w:rPr>
          <w:rFonts w:ascii="Arial" w:hAnsi="Arial" w:cs="Arial"/>
          <w:sz w:val="24"/>
          <w:szCs w:val="24"/>
        </w:rPr>
        <w:t>la</w:t>
      </w:r>
      <w:r w:rsidRPr="009451FB">
        <w:rPr>
          <w:rFonts w:ascii="Arial" w:hAnsi="Arial" w:cs="Arial"/>
          <w:sz w:val="24"/>
          <w:szCs w:val="24"/>
        </w:rPr>
        <w:t xml:space="preserve"> incorporación de la mujer al mercado laboral ocasionó una menor oferta de trabajo de cuidado, el aumento de las expectativas de vida y el envejecimiento de la población  por sobre los 80 años ,  lleva a la necesidad de mayores cuidados a adultos mayores, al rígido sistema capitalista que divide entre productivo ( salario remunerado ) y cataloga como no productivo al trabajo doméstico y de cuidado que sostiene el entramado social, lo que hace posible a su vez el trabajo remunerado. A su vez las políticas neoliberales de recorte de gastos sociales junto con la negativa de los hombres de hacerse cargo de las tareas del hogar, ha desembocado en lo que se ha llamado la crisis o las crisis del cuidado</w:t>
      </w:r>
      <w:r w:rsidR="0083078E" w:rsidRPr="009451FB">
        <w:rPr>
          <w:rFonts w:ascii="Arial" w:hAnsi="Arial" w:cs="Arial"/>
          <w:sz w:val="24"/>
          <w:szCs w:val="24"/>
        </w:rPr>
        <w:t xml:space="preserve">, que es un problema social de gran </w:t>
      </w:r>
      <w:r w:rsidR="0083078E" w:rsidRPr="009451FB">
        <w:rPr>
          <w:rFonts w:ascii="Arial" w:hAnsi="Arial" w:cs="Arial"/>
          <w:sz w:val="24"/>
          <w:szCs w:val="24"/>
        </w:rPr>
        <w:lastRenderedPageBreak/>
        <w:t>magnitud. Pero como toda crisis ofrece una oportunidad para poner en primer plano la importancia del cuidado y de la reproducción como motor no visible de la economía, la brecha de género que subyace en esta relación. Pone de relieve el vínculo entre el bienestar social y el beneficio económico. Propone repensar los principios sobre los que se erige el sistema</w:t>
      </w:r>
      <w:r w:rsidR="00B81CAC" w:rsidRPr="009451FB">
        <w:rPr>
          <w:rFonts w:ascii="Arial" w:hAnsi="Arial" w:cs="Arial"/>
          <w:sz w:val="24"/>
          <w:szCs w:val="24"/>
        </w:rPr>
        <w:t>. Si las mujeres se incorporan cada vez más al trabajo remunerado y la función pública, quiénes se hacen cargo de cuidar a niños, ancianos y enfermos</w:t>
      </w:r>
      <w:r w:rsidR="00E03120" w:rsidRPr="009451FB">
        <w:rPr>
          <w:rFonts w:ascii="Arial" w:hAnsi="Arial" w:cs="Arial"/>
          <w:sz w:val="24"/>
          <w:szCs w:val="24"/>
        </w:rPr>
        <w:t xml:space="preserve">, tareas históricamente asumidas por las mujeres. </w:t>
      </w:r>
      <w:r w:rsidR="00B81CAC" w:rsidRPr="009451FB">
        <w:rPr>
          <w:rFonts w:ascii="Arial" w:hAnsi="Arial" w:cs="Arial"/>
          <w:sz w:val="24"/>
          <w:szCs w:val="24"/>
        </w:rPr>
        <w:t xml:space="preserve"> Ante el envejecimiento poblacional qué cantidad de cuidadores de la tercera edad serán necesarios dentro de </w:t>
      </w:r>
      <w:proofErr w:type="gramStart"/>
      <w:r w:rsidR="00B81CAC" w:rsidRPr="009451FB">
        <w:rPr>
          <w:rFonts w:ascii="Arial" w:hAnsi="Arial" w:cs="Arial"/>
          <w:sz w:val="24"/>
          <w:szCs w:val="24"/>
        </w:rPr>
        <w:t>10</w:t>
      </w:r>
      <w:r w:rsidR="00787784" w:rsidRPr="009451FB">
        <w:rPr>
          <w:rFonts w:ascii="Arial" w:hAnsi="Arial" w:cs="Arial"/>
          <w:sz w:val="24"/>
          <w:szCs w:val="24"/>
        </w:rPr>
        <w:t xml:space="preserve"> </w:t>
      </w:r>
      <w:r w:rsidR="00B81CAC" w:rsidRPr="009451FB">
        <w:rPr>
          <w:rFonts w:ascii="Arial" w:hAnsi="Arial" w:cs="Arial"/>
          <w:sz w:val="24"/>
          <w:szCs w:val="24"/>
        </w:rPr>
        <w:t>,</w:t>
      </w:r>
      <w:proofErr w:type="gramEnd"/>
      <w:r w:rsidR="00B81CAC" w:rsidRPr="009451FB">
        <w:rPr>
          <w:rFonts w:ascii="Arial" w:hAnsi="Arial" w:cs="Arial"/>
          <w:sz w:val="24"/>
          <w:szCs w:val="24"/>
        </w:rPr>
        <w:t xml:space="preserve"> 20 años para cubrir la misma? Estamos generando capacitaciones y políticas sociales que cubran estas necesidades</w:t>
      </w:r>
      <w:r w:rsidR="00787784" w:rsidRPr="009451FB">
        <w:rPr>
          <w:rFonts w:ascii="Arial" w:hAnsi="Arial" w:cs="Arial"/>
          <w:sz w:val="24"/>
          <w:szCs w:val="24"/>
        </w:rPr>
        <w:t xml:space="preserve"> de aquí a 10, </w:t>
      </w:r>
      <w:proofErr w:type="gramStart"/>
      <w:r w:rsidR="00787784" w:rsidRPr="009451FB">
        <w:rPr>
          <w:rFonts w:ascii="Arial" w:hAnsi="Arial" w:cs="Arial"/>
          <w:sz w:val="24"/>
          <w:szCs w:val="24"/>
        </w:rPr>
        <w:t>20</w:t>
      </w:r>
      <w:r w:rsidR="00B40601" w:rsidRPr="009451FB">
        <w:rPr>
          <w:rFonts w:ascii="Arial" w:hAnsi="Arial" w:cs="Arial"/>
          <w:sz w:val="24"/>
          <w:szCs w:val="24"/>
        </w:rPr>
        <w:t xml:space="preserve"> </w:t>
      </w:r>
      <w:r w:rsidR="00787784" w:rsidRPr="009451FB">
        <w:rPr>
          <w:rFonts w:ascii="Arial" w:hAnsi="Arial" w:cs="Arial"/>
          <w:sz w:val="24"/>
          <w:szCs w:val="24"/>
        </w:rPr>
        <w:t>,</w:t>
      </w:r>
      <w:proofErr w:type="gramEnd"/>
      <w:r w:rsidR="00787784" w:rsidRPr="009451FB">
        <w:rPr>
          <w:rFonts w:ascii="Arial" w:hAnsi="Arial" w:cs="Arial"/>
          <w:sz w:val="24"/>
          <w:szCs w:val="24"/>
        </w:rPr>
        <w:t xml:space="preserve"> 30 años vista?</w:t>
      </w:r>
    </w:p>
    <w:p w14:paraId="6D2F8275" w14:textId="1AEB278E" w:rsidR="009545FD" w:rsidRPr="009451FB" w:rsidRDefault="009545FD" w:rsidP="009451FB">
      <w:pPr>
        <w:spacing w:line="240" w:lineRule="auto"/>
        <w:jc w:val="both"/>
        <w:rPr>
          <w:rFonts w:ascii="Arial" w:hAnsi="Arial" w:cs="Arial"/>
          <w:sz w:val="24"/>
          <w:szCs w:val="24"/>
        </w:rPr>
      </w:pPr>
      <w:r w:rsidRPr="009451FB">
        <w:rPr>
          <w:rFonts w:ascii="Arial" w:hAnsi="Arial" w:cs="Arial"/>
          <w:sz w:val="24"/>
          <w:szCs w:val="24"/>
        </w:rPr>
        <w:t xml:space="preserve">Por un lado esta crisis </w:t>
      </w:r>
      <w:r w:rsidR="00E03120" w:rsidRPr="009451FB">
        <w:rPr>
          <w:rFonts w:ascii="Arial" w:hAnsi="Arial" w:cs="Arial"/>
          <w:sz w:val="24"/>
          <w:szCs w:val="24"/>
        </w:rPr>
        <w:t xml:space="preserve">pone el foco en </w:t>
      </w:r>
      <w:r w:rsidRPr="009451FB">
        <w:rPr>
          <w:rFonts w:ascii="Arial" w:hAnsi="Arial" w:cs="Arial"/>
          <w:sz w:val="24"/>
          <w:szCs w:val="24"/>
        </w:rPr>
        <w:t xml:space="preserve">las dificultades para numerosos grupos poblacionales ante la ausencia de funciones de cuidado:  cuidar, cuidarse o ser cuidados , por otro plantea la oportunidad de </w:t>
      </w:r>
      <w:r w:rsidR="00E03120" w:rsidRPr="009451FB">
        <w:rPr>
          <w:rFonts w:ascii="Arial" w:hAnsi="Arial" w:cs="Arial"/>
          <w:sz w:val="24"/>
          <w:szCs w:val="24"/>
        </w:rPr>
        <w:t xml:space="preserve">poner sobre el tapete </w:t>
      </w:r>
      <w:r w:rsidRPr="009451FB">
        <w:rPr>
          <w:rFonts w:ascii="Arial" w:hAnsi="Arial" w:cs="Arial"/>
          <w:sz w:val="24"/>
          <w:szCs w:val="24"/>
        </w:rPr>
        <w:t>el trabajo que hasta ahora ha sido invisible y que pasa a ser visible, el trabajo doméstico y de cuidado no remunerado que como vimos en el punto anterior es la red laboral silenciosa que sostiene todo el sistema económico y social</w:t>
      </w:r>
      <w:r w:rsidR="00E03120" w:rsidRPr="009451FB">
        <w:rPr>
          <w:rFonts w:ascii="Arial" w:hAnsi="Arial" w:cs="Arial"/>
          <w:sz w:val="24"/>
          <w:szCs w:val="24"/>
        </w:rPr>
        <w:t xml:space="preserve"> con una amplísima participación en el PBI.</w:t>
      </w:r>
    </w:p>
    <w:p w14:paraId="4A592264" w14:textId="58892BD2" w:rsidR="00426735" w:rsidRPr="009451FB" w:rsidRDefault="00426735" w:rsidP="009451FB">
      <w:pPr>
        <w:spacing w:line="240" w:lineRule="auto"/>
        <w:jc w:val="both"/>
        <w:rPr>
          <w:rFonts w:ascii="Arial" w:hAnsi="Arial" w:cs="Arial"/>
          <w:sz w:val="24"/>
          <w:szCs w:val="24"/>
        </w:rPr>
      </w:pPr>
    </w:p>
    <w:p w14:paraId="2162FACC" w14:textId="62C7A689" w:rsidR="00426735" w:rsidRPr="009451FB" w:rsidRDefault="00C37A0A" w:rsidP="009451FB">
      <w:pPr>
        <w:spacing w:line="240" w:lineRule="auto"/>
        <w:jc w:val="both"/>
        <w:rPr>
          <w:rFonts w:ascii="Arial" w:hAnsi="Arial" w:cs="Arial"/>
          <w:sz w:val="24"/>
          <w:szCs w:val="24"/>
        </w:rPr>
      </w:pPr>
      <w:r w:rsidRPr="009451FB">
        <w:rPr>
          <w:rFonts w:ascii="Arial" w:hAnsi="Arial" w:cs="Arial"/>
          <w:sz w:val="24"/>
          <w:szCs w:val="24"/>
        </w:rPr>
        <w:t xml:space="preserve">A modo de reflexión les planteo estas </w:t>
      </w:r>
      <w:proofErr w:type="gramStart"/>
      <w:r w:rsidRPr="009451FB">
        <w:rPr>
          <w:rFonts w:ascii="Arial" w:hAnsi="Arial" w:cs="Arial"/>
          <w:sz w:val="24"/>
          <w:szCs w:val="24"/>
        </w:rPr>
        <w:t>cifras :</w:t>
      </w:r>
      <w:proofErr w:type="gramEnd"/>
      <w:r w:rsidRPr="009451FB">
        <w:rPr>
          <w:rFonts w:ascii="Arial" w:hAnsi="Arial" w:cs="Arial"/>
          <w:sz w:val="24"/>
          <w:szCs w:val="24"/>
        </w:rPr>
        <w:t xml:space="preserve"> s</w:t>
      </w:r>
      <w:r w:rsidR="00426735" w:rsidRPr="009451FB">
        <w:rPr>
          <w:rFonts w:ascii="Arial" w:hAnsi="Arial" w:cs="Arial"/>
          <w:sz w:val="24"/>
          <w:szCs w:val="24"/>
        </w:rPr>
        <w:t xml:space="preserve">egún estimaciones </w:t>
      </w:r>
      <w:r w:rsidRPr="009451FB">
        <w:rPr>
          <w:rFonts w:ascii="Arial" w:hAnsi="Arial" w:cs="Arial"/>
          <w:sz w:val="24"/>
          <w:szCs w:val="24"/>
        </w:rPr>
        <w:t>po</w:t>
      </w:r>
      <w:r w:rsidR="00B40601" w:rsidRPr="009451FB">
        <w:rPr>
          <w:rFonts w:ascii="Arial" w:hAnsi="Arial" w:cs="Arial"/>
          <w:sz w:val="24"/>
          <w:szCs w:val="24"/>
        </w:rPr>
        <w:t>blacionales del</w:t>
      </w:r>
      <w:r w:rsidR="00426735" w:rsidRPr="009451FB">
        <w:rPr>
          <w:rFonts w:ascii="Arial" w:hAnsi="Arial" w:cs="Arial"/>
          <w:sz w:val="24"/>
          <w:szCs w:val="24"/>
        </w:rPr>
        <w:t xml:space="preserve"> Indec, en el año 2020 hay 1.200.000 personas mayores de 80 años aproximadamente, las que en el año 2030 serán 1.730.000 y para el año 2040 unas 2.373.000, está preparada nuestra sociedad para asumir mediante cuidadores capacitados e instituciones el aumento en casi 1 millón de personas de más de 80 años? </w:t>
      </w:r>
    </w:p>
    <w:p w14:paraId="6EC4152A" w14:textId="77777777" w:rsidR="009545FD" w:rsidRPr="009451FB" w:rsidRDefault="009545FD" w:rsidP="009451FB">
      <w:pPr>
        <w:spacing w:line="240" w:lineRule="auto"/>
        <w:jc w:val="both"/>
        <w:rPr>
          <w:rFonts w:ascii="Arial" w:hAnsi="Arial" w:cs="Arial"/>
          <w:sz w:val="24"/>
          <w:szCs w:val="24"/>
        </w:rPr>
      </w:pPr>
    </w:p>
    <w:p w14:paraId="2D129351" w14:textId="77777777" w:rsidR="00635648" w:rsidRPr="009451FB" w:rsidRDefault="00635648" w:rsidP="009451FB">
      <w:pPr>
        <w:spacing w:line="240" w:lineRule="auto"/>
        <w:jc w:val="both"/>
        <w:rPr>
          <w:rFonts w:ascii="Arial" w:hAnsi="Arial" w:cs="Arial"/>
          <w:sz w:val="24"/>
          <w:szCs w:val="24"/>
        </w:rPr>
      </w:pPr>
    </w:p>
    <w:p w14:paraId="4C39FB1D" w14:textId="63BD5CF5" w:rsidR="004D7EB4" w:rsidRPr="009451FB" w:rsidRDefault="00412A93" w:rsidP="009451FB">
      <w:pPr>
        <w:spacing w:line="240" w:lineRule="auto"/>
        <w:jc w:val="both"/>
        <w:rPr>
          <w:rFonts w:ascii="Arial" w:hAnsi="Arial" w:cs="Arial"/>
          <w:b/>
          <w:bCs/>
          <w:sz w:val="24"/>
          <w:szCs w:val="24"/>
          <w:u w:val="single"/>
        </w:rPr>
      </w:pPr>
      <w:r w:rsidRPr="009451FB">
        <w:rPr>
          <w:rFonts w:ascii="Arial" w:hAnsi="Arial" w:cs="Arial"/>
          <w:b/>
          <w:bCs/>
          <w:sz w:val="24"/>
          <w:szCs w:val="24"/>
          <w:u w:val="single"/>
        </w:rPr>
        <w:t>6. Conclusiones</w:t>
      </w:r>
    </w:p>
    <w:p w14:paraId="72A41D95" w14:textId="046874A3" w:rsidR="003668EF" w:rsidRPr="009451FB" w:rsidRDefault="003668EF" w:rsidP="009451FB">
      <w:pPr>
        <w:spacing w:line="240" w:lineRule="auto"/>
        <w:jc w:val="both"/>
        <w:rPr>
          <w:rFonts w:ascii="Arial" w:hAnsi="Arial" w:cs="Arial"/>
          <w:sz w:val="24"/>
          <w:szCs w:val="24"/>
        </w:rPr>
      </w:pPr>
      <w:r w:rsidRPr="009451FB">
        <w:rPr>
          <w:rFonts w:ascii="Arial" w:hAnsi="Arial" w:cs="Arial"/>
          <w:sz w:val="24"/>
          <w:szCs w:val="24"/>
        </w:rPr>
        <w:t>Sin duda la brecha de género se corresponde con un entramado social y económico de larga data , el que no se resuelve con una legislación puntual y draconiana, sino con un haz de leyes , regulaciones y concientización de la población respecto a la necesidad de ir hacia un cambio de paradigma, que tendrá su correlato en las estructuras sociales.</w:t>
      </w:r>
    </w:p>
    <w:p w14:paraId="636208A8" w14:textId="756F024C" w:rsidR="00DC6B58" w:rsidRPr="009451FB" w:rsidRDefault="00DC6B58" w:rsidP="009451FB">
      <w:pPr>
        <w:spacing w:line="240" w:lineRule="auto"/>
        <w:jc w:val="both"/>
        <w:rPr>
          <w:rFonts w:ascii="Arial" w:hAnsi="Arial" w:cs="Arial"/>
          <w:sz w:val="24"/>
          <w:szCs w:val="24"/>
        </w:rPr>
      </w:pPr>
      <w:r w:rsidRPr="009451FB">
        <w:rPr>
          <w:rFonts w:ascii="Arial" w:hAnsi="Arial" w:cs="Arial"/>
          <w:sz w:val="24"/>
          <w:szCs w:val="24"/>
        </w:rPr>
        <w:t>La brecha de género</w:t>
      </w:r>
      <w:r w:rsidR="003668EF" w:rsidRPr="009451FB">
        <w:rPr>
          <w:rFonts w:ascii="Arial" w:hAnsi="Arial" w:cs="Arial"/>
          <w:sz w:val="24"/>
          <w:szCs w:val="24"/>
        </w:rPr>
        <w:t xml:space="preserve"> desde el punto de vista de la autonomía económica, </w:t>
      </w:r>
      <w:r w:rsidRPr="009451FB">
        <w:rPr>
          <w:rFonts w:ascii="Arial" w:hAnsi="Arial" w:cs="Arial"/>
          <w:sz w:val="24"/>
          <w:szCs w:val="24"/>
        </w:rPr>
        <w:t xml:space="preserve">puede ser reducida progresivamente con la mayor incorporación de la mujer al mercado de trabajo, incentivando el principio de igual remuneración por igual tarea y deducciones impositivas para Jefas de Hogares Monoparentales, así como mayores </w:t>
      </w:r>
      <w:r w:rsidR="003668EF" w:rsidRPr="009451FB">
        <w:rPr>
          <w:rFonts w:ascii="Arial" w:hAnsi="Arial" w:cs="Arial"/>
          <w:sz w:val="24"/>
          <w:szCs w:val="24"/>
        </w:rPr>
        <w:t xml:space="preserve">Deducciones </w:t>
      </w:r>
      <w:r w:rsidRPr="009451FB">
        <w:rPr>
          <w:rFonts w:ascii="Arial" w:hAnsi="Arial" w:cs="Arial"/>
          <w:sz w:val="24"/>
          <w:szCs w:val="24"/>
        </w:rPr>
        <w:t>por Hijos</w:t>
      </w:r>
      <w:r w:rsidR="003668EF" w:rsidRPr="009451FB">
        <w:rPr>
          <w:rFonts w:ascii="Arial" w:hAnsi="Arial" w:cs="Arial"/>
          <w:sz w:val="24"/>
          <w:szCs w:val="24"/>
        </w:rPr>
        <w:t>, o el llamado Bono por hijo al estilo chileno.</w:t>
      </w:r>
      <w:r w:rsidRPr="009451FB">
        <w:rPr>
          <w:rFonts w:ascii="Arial" w:hAnsi="Arial" w:cs="Arial"/>
          <w:sz w:val="24"/>
          <w:szCs w:val="24"/>
        </w:rPr>
        <w:t xml:space="preserve"> </w:t>
      </w:r>
    </w:p>
    <w:p w14:paraId="0BCEFCF0" w14:textId="7311C4B0" w:rsidR="00DC6B58" w:rsidRPr="009451FB" w:rsidRDefault="00DC6B58" w:rsidP="009451FB">
      <w:pPr>
        <w:spacing w:line="240" w:lineRule="auto"/>
        <w:jc w:val="both"/>
        <w:rPr>
          <w:rFonts w:ascii="Arial" w:hAnsi="Arial" w:cs="Arial"/>
          <w:sz w:val="24"/>
          <w:szCs w:val="24"/>
        </w:rPr>
      </w:pPr>
      <w:r w:rsidRPr="009451FB">
        <w:rPr>
          <w:rFonts w:ascii="Arial" w:hAnsi="Arial" w:cs="Arial"/>
          <w:sz w:val="24"/>
          <w:szCs w:val="24"/>
        </w:rPr>
        <w:t xml:space="preserve">Fomentar la capacitación y contratación de cuidadores de niños, enfermos y personas de la tercera edad. Con normativas laborales e impositivas que las promocionen. </w:t>
      </w:r>
    </w:p>
    <w:p w14:paraId="0BB38FDF" w14:textId="191B55C7" w:rsidR="00DC6B58" w:rsidRPr="009451FB" w:rsidRDefault="00DC6B58" w:rsidP="009451FB">
      <w:pPr>
        <w:spacing w:line="240" w:lineRule="auto"/>
        <w:jc w:val="both"/>
        <w:rPr>
          <w:rFonts w:ascii="Arial" w:hAnsi="Arial" w:cs="Arial"/>
          <w:sz w:val="24"/>
          <w:szCs w:val="24"/>
        </w:rPr>
      </w:pPr>
      <w:r w:rsidRPr="009451FB">
        <w:rPr>
          <w:rFonts w:ascii="Arial" w:hAnsi="Arial" w:cs="Arial"/>
          <w:sz w:val="24"/>
          <w:szCs w:val="24"/>
        </w:rPr>
        <w:t xml:space="preserve">En el plano previsional, para lograr cierta equidad prorrogar las moratorias para que las mujeres puedan acceder a un beneficio previsional, o que vía las empresas se puedan regularizar </w:t>
      </w:r>
      <w:proofErr w:type="gramStart"/>
      <w:r w:rsidRPr="009451FB">
        <w:rPr>
          <w:rFonts w:ascii="Arial" w:hAnsi="Arial" w:cs="Arial"/>
          <w:sz w:val="24"/>
          <w:szCs w:val="24"/>
        </w:rPr>
        <w:t>aportes .</w:t>
      </w:r>
      <w:proofErr w:type="gramEnd"/>
    </w:p>
    <w:p w14:paraId="3AD1E5A9" w14:textId="6C54C3C8" w:rsidR="00DC6B58" w:rsidRPr="009451FB" w:rsidRDefault="00DC6B58" w:rsidP="009451FB">
      <w:pPr>
        <w:spacing w:line="240" w:lineRule="auto"/>
        <w:jc w:val="both"/>
        <w:rPr>
          <w:rFonts w:ascii="Arial" w:hAnsi="Arial" w:cs="Arial"/>
          <w:sz w:val="24"/>
          <w:szCs w:val="24"/>
        </w:rPr>
      </w:pPr>
      <w:r w:rsidRPr="009451FB">
        <w:rPr>
          <w:rFonts w:ascii="Arial" w:hAnsi="Arial" w:cs="Arial"/>
          <w:sz w:val="24"/>
          <w:szCs w:val="24"/>
        </w:rPr>
        <w:lastRenderedPageBreak/>
        <w:t>Revalorizar socialmente el trabajo doméstico y de cuidado como sostén de toda la economía Ley EUT a ser ejecutada por el INDEC.</w:t>
      </w:r>
    </w:p>
    <w:p w14:paraId="0AE7C406" w14:textId="116F1CCB" w:rsidR="003668EF" w:rsidRPr="009451FB" w:rsidRDefault="003668EF" w:rsidP="009451FB">
      <w:pPr>
        <w:spacing w:line="240" w:lineRule="auto"/>
        <w:jc w:val="both"/>
        <w:rPr>
          <w:rFonts w:ascii="Arial" w:hAnsi="Arial" w:cs="Arial"/>
          <w:sz w:val="24"/>
          <w:szCs w:val="24"/>
        </w:rPr>
      </w:pPr>
      <w:r w:rsidRPr="009451FB">
        <w:rPr>
          <w:rFonts w:ascii="Arial" w:hAnsi="Arial" w:cs="Arial"/>
          <w:sz w:val="24"/>
          <w:szCs w:val="24"/>
        </w:rPr>
        <w:t xml:space="preserve">En suma repensar el sistema tributario y previsional para que sea funcional a la reducción de la brecha de género, necesaria para lograr el punto de partida inicial de la Equidad de Género. </w:t>
      </w:r>
    </w:p>
    <w:p w14:paraId="2A44EF5E" w14:textId="77777777" w:rsidR="00DC6B58" w:rsidRPr="009451FB" w:rsidRDefault="00DC6B58" w:rsidP="009451FB">
      <w:pPr>
        <w:spacing w:line="240" w:lineRule="auto"/>
        <w:jc w:val="both"/>
        <w:rPr>
          <w:rFonts w:ascii="Arial" w:hAnsi="Arial" w:cs="Arial"/>
          <w:sz w:val="24"/>
          <w:szCs w:val="24"/>
        </w:rPr>
      </w:pPr>
    </w:p>
    <w:p w14:paraId="47669D1D" w14:textId="77777777" w:rsidR="00DC6B58" w:rsidRPr="009451FB" w:rsidRDefault="00DC6B58" w:rsidP="009451FB">
      <w:pPr>
        <w:spacing w:line="240" w:lineRule="auto"/>
        <w:jc w:val="both"/>
        <w:rPr>
          <w:rFonts w:ascii="Arial" w:hAnsi="Arial" w:cs="Arial"/>
          <w:sz w:val="24"/>
          <w:szCs w:val="24"/>
        </w:rPr>
      </w:pPr>
    </w:p>
    <w:p w14:paraId="317D0828" w14:textId="24AEA82C" w:rsidR="001F2455" w:rsidRPr="009451FB" w:rsidRDefault="001F2455" w:rsidP="009451FB">
      <w:pPr>
        <w:spacing w:line="240" w:lineRule="auto"/>
        <w:jc w:val="both"/>
        <w:rPr>
          <w:rFonts w:ascii="Arial" w:hAnsi="Arial" w:cs="Arial"/>
          <w:b/>
          <w:bCs/>
          <w:sz w:val="24"/>
          <w:szCs w:val="24"/>
          <w:u w:val="single"/>
        </w:rPr>
      </w:pPr>
    </w:p>
    <w:p w14:paraId="66191FC7" w14:textId="77777777" w:rsidR="001F2455" w:rsidRPr="00DC34F9" w:rsidRDefault="001F2455" w:rsidP="009451FB">
      <w:pPr>
        <w:spacing w:line="240" w:lineRule="auto"/>
        <w:jc w:val="both"/>
        <w:rPr>
          <w:rFonts w:ascii="Arial" w:hAnsi="Arial" w:cs="Arial"/>
          <w:sz w:val="20"/>
          <w:szCs w:val="20"/>
        </w:rPr>
      </w:pPr>
      <w:r w:rsidRPr="00DC34F9">
        <w:rPr>
          <w:rFonts w:ascii="Arial" w:hAnsi="Arial" w:cs="Arial"/>
          <w:sz w:val="20"/>
          <w:szCs w:val="20"/>
        </w:rPr>
        <w:t>Notas:</w:t>
      </w:r>
    </w:p>
    <w:p w14:paraId="6CE503F6" w14:textId="6BEE7DDF"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Basado en el Curso de Inducción – Iniciativa Spolight “Capacitación en Género” del ICAP Instituto de Capacitación Parlamentaria de la Honorable Cámara de Diputados de la Nación, para la Ley Micaela febrero de 2020.</w:t>
      </w:r>
    </w:p>
    <w:p w14:paraId="28D5D913"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Datos del BESS Boletín Estadístico de la Seguridad Social a Junio de 2020, el mismo se puede consultar en el siguiente link:</w:t>
      </w:r>
    </w:p>
    <w:p w14:paraId="2EF5662D" w14:textId="77777777" w:rsidR="001F2455" w:rsidRPr="00DC34F9" w:rsidRDefault="00E9070F" w:rsidP="009451FB">
      <w:pPr>
        <w:pStyle w:val="Prrafodelista"/>
        <w:spacing w:line="240" w:lineRule="auto"/>
        <w:jc w:val="both"/>
        <w:rPr>
          <w:rFonts w:ascii="Arial" w:hAnsi="Arial" w:cs="Arial"/>
          <w:sz w:val="20"/>
          <w:szCs w:val="20"/>
        </w:rPr>
      </w:pPr>
      <w:hyperlink r:id="rId29" w:history="1">
        <w:r w:rsidR="001F2455" w:rsidRPr="00DC34F9">
          <w:rPr>
            <w:rStyle w:val="Hipervnculo"/>
            <w:rFonts w:ascii="Arial" w:hAnsi="Arial" w:cs="Arial"/>
            <w:sz w:val="20"/>
            <w:szCs w:val="20"/>
          </w:rPr>
          <w:t>https://www.argentina.gob.ar/trabajo/seguridadsocial/bess</w:t>
        </w:r>
      </w:hyperlink>
    </w:p>
    <w:p w14:paraId="175D8FA3"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Datos del INDEC, Indicadores Demográficos. www.indec.gob.ar</w:t>
      </w:r>
    </w:p>
    <w:p w14:paraId="7B5C1808"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Encuesta Permanente de Hogares (EPH) Indec Segundo Trimestre 2020.</w:t>
      </w:r>
    </w:p>
    <w:p w14:paraId="1712F779"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Basado Informe del Indec “Mercado de Trabajo. Tasas e Indicadores Socio-Económicos. (EPH) Segundo Trimestre 2020.</w:t>
      </w:r>
    </w:p>
    <w:p w14:paraId="4DACAD81"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Basado en el Documento de trabajo N°67 “Los impuestos como herramientas para la Equidad de Género el caso del impuesto a las ganancias sobre las personas físicas en Argentina” de Natalia Gherardi y Corina Rodríguez Enríquez. Diciembre de 2008. CIEPP Centro Interdisciplinario para el Estudio de las Políticas Públicas y ELA Equipo Latinoamericano de Justicia y Género.</w:t>
      </w:r>
    </w:p>
    <w:p w14:paraId="748911D1" w14:textId="77777777" w:rsidR="001F2455" w:rsidRPr="00DC34F9" w:rsidRDefault="001F2455" w:rsidP="009451FB">
      <w:pPr>
        <w:pStyle w:val="Prrafodelista"/>
        <w:numPr>
          <w:ilvl w:val="0"/>
          <w:numId w:val="20"/>
        </w:numPr>
        <w:spacing w:line="240" w:lineRule="auto"/>
        <w:jc w:val="both"/>
        <w:rPr>
          <w:rFonts w:ascii="Arial" w:hAnsi="Arial" w:cs="Arial"/>
          <w:sz w:val="20"/>
          <w:szCs w:val="20"/>
        </w:rPr>
      </w:pPr>
      <w:r w:rsidRPr="00DC34F9">
        <w:rPr>
          <w:rFonts w:ascii="Arial" w:hAnsi="Arial" w:cs="Arial"/>
          <w:sz w:val="20"/>
          <w:szCs w:val="20"/>
        </w:rPr>
        <w:t>Datos del BESS Boletín Estadístico de la Seguridad Social a Junio de 2020, el mismo se puede consultar en el siguiente link:</w:t>
      </w:r>
    </w:p>
    <w:p w14:paraId="497D649A" w14:textId="77777777" w:rsidR="001F2455" w:rsidRPr="00DC34F9" w:rsidRDefault="00E9070F" w:rsidP="009451FB">
      <w:pPr>
        <w:pStyle w:val="Prrafodelista"/>
        <w:spacing w:line="240" w:lineRule="auto"/>
        <w:jc w:val="both"/>
        <w:rPr>
          <w:rFonts w:ascii="Arial" w:hAnsi="Arial" w:cs="Arial"/>
          <w:sz w:val="20"/>
          <w:szCs w:val="20"/>
        </w:rPr>
      </w:pPr>
      <w:hyperlink r:id="rId30" w:history="1">
        <w:r w:rsidR="001F2455" w:rsidRPr="00DC34F9">
          <w:rPr>
            <w:rStyle w:val="Hipervnculo"/>
            <w:rFonts w:ascii="Arial" w:hAnsi="Arial" w:cs="Arial"/>
            <w:sz w:val="20"/>
            <w:szCs w:val="20"/>
          </w:rPr>
          <w:t>https://www.argentina.gob.ar/trabajo/seguridadsocial/bess</w:t>
        </w:r>
      </w:hyperlink>
    </w:p>
    <w:p w14:paraId="6A895484" w14:textId="77777777" w:rsidR="001F2455" w:rsidRPr="00DC34F9" w:rsidRDefault="001F2455" w:rsidP="009451FB">
      <w:pPr>
        <w:pStyle w:val="Prrafodelista"/>
        <w:spacing w:line="240" w:lineRule="auto"/>
        <w:jc w:val="both"/>
        <w:rPr>
          <w:rFonts w:ascii="Arial" w:hAnsi="Arial" w:cs="Arial"/>
          <w:sz w:val="20"/>
          <w:szCs w:val="20"/>
        </w:rPr>
      </w:pPr>
    </w:p>
    <w:p w14:paraId="317C2D5C" w14:textId="77777777" w:rsidR="001F2455" w:rsidRPr="00DC34F9" w:rsidRDefault="001F2455" w:rsidP="009451FB">
      <w:pPr>
        <w:pStyle w:val="Prrafodelista"/>
        <w:spacing w:line="240" w:lineRule="auto"/>
        <w:jc w:val="both"/>
        <w:rPr>
          <w:rFonts w:ascii="Arial" w:hAnsi="Arial" w:cs="Arial"/>
          <w:sz w:val="20"/>
          <w:szCs w:val="20"/>
        </w:rPr>
      </w:pPr>
    </w:p>
    <w:p w14:paraId="5B7657F4" w14:textId="77777777" w:rsidR="001F2455" w:rsidRDefault="001F2455" w:rsidP="009451FB">
      <w:pPr>
        <w:spacing w:line="240" w:lineRule="auto"/>
        <w:jc w:val="both"/>
        <w:rPr>
          <w:rFonts w:ascii="Arial" w:hAnsi="Arial" w:cs="Arial"/>
          <w:b/>
          <w:bCs/>
          <w:sz w:val="24"/>
          <w:szCs w:val="24"/>
          <w:u w:val="single"/>
        </w:rPr>
      </w:pPr>
    </w:p>
    <w:p w14:paraId="2C4F9BB5" w14:textId="77777777" w:rsidR="0043318A" w:rsidRDefault="0043318A" w:rsidP="009451FB">
      <w:pPr>
        <w:spacing w:line="240" w:lineRule="auto"/>
        <w:jc w:val="both"/>
        <w:rPr>
          <w:rFonts w:ascii="Arial" w:hAnsi="Arial" w:cs="Arial"/>
          <w:b/>
          <w:bCs/>
          <w:sz w:val="24"/>
          <w:szCs w:val="24"/>
          <w:u w:val="single"/>
        </w:rPr>
      </w:pPr>
    </w:p>
    <w:p w14:paraId="05152DEC" w14:textId="77777777" w:rsidR="0043318A" w:rsidRDefault="0043318A" w:rsidP="009451FB">
      <w:pPr>
        <w:spacing w:line="240" w:lineRule="auto"/>
        <w:jc w:val="both"/>
        <w:rPr>
          <w:rFonts w:ascii="Arial" w:hAnsi="Arial" w:cs="Arial"/>
          <w:b/>
          <w:bCs/>
          <w:sz w:val="24"/>
          <w:szCs w:val="24"/>
          <w:u w:val="single"/>
        </w:rPr>
      </w:pPr>
    </w:p>
    <w:p w14:paraId="188F6EEF" w14:textId="77777777" w:rsidR="0043318A" w:rsidRDefault="0043318A" w:rsidP="009451FB">
      <w:pPr>
        <w:spacing w:line="240" w:lineRule="auto"/>
        <w:jc w:val="both"/>
        <w:rPr>
          <w:rFonts w:ascii="Arial" w:hAnsi="Arial" w:cs="Arial"/>
          <w:b/>
          <w:bCs/>
          <w:sz w:val="24"/>
          <w:szCs w:val="24"/>
          <w:u w:val="single"/>
        </w:rPr>
      </w:pPr>
    </w:p>
    <w:p w14:paraId="519F8324" w14:textId="77777777" w:rsidR="0043318A" w:rsidRDefault="0043318A" w:rsidP="009451FB">
      <w:pPr>
        <w:spacing w:line="240" w:lineRule="auto"/>
        <w:jc w:val="both"/>
        <w:rPr>
          <w:rFonts w:ascii="Arial" w:hAnsi="Arial" w:cs="Arial"/>
          <w:b/>
          <w:bCs/>
          <w:sz w:val="24"/>
          <w:szCs w:val="24"/>
          <w:u w:val="single"/>
        </w:rPr>
      </w:pPr>
    </w:p>
    <w:p w14:paraId="6F76DE62" w14:textId="77777777" w:rsidR="0043318A" w:rsidRDefault="0043318A" w:rsidP="009451FB">
      <w:pPr>
        <w:spacing w:line="240" w:lineRule="auto"/>
        <w:jc w:val="both"/>
        <w:rPr>
          <w:rFonts w:ascii="Arial" w:hAnsi="Arial" w:cs="Arial"/>
          <w:b/>
          <w:bCs/>
          <w:sz w:val="24"/>
          <w:szCs w:val="24"/>
          <w:u w:val="single"/>
        </w:rPr>
      </w:pPr>
    </w:p>
    <w:p w14:paraId="3E3E3B6E" w14:textId="77777777" w:rsidR="0043318A" w:rsidRDefault="0043318A" w:rsidP="009451FB">
      <w:pPr>
        <w:spacing w:line="240" w:lineRule="auto"/>
        <w:jc w:val="both"/>
        <w:rPr>
          <w:rFonts w:ascii="Arial" w:hAnsi="Arial" w:cs="Arial"/>
          <w:b/>
          <w:bCs/>
          <w:sz w:val="24"/>
          <w:szCs w:val="24"/>
          <w:u w:val="single"/>
        </w:rPr>
      </w:pPr>
    </w:p>
    <w:p w14:paraId="747ABF1A" w14:textId="77777777" w:rsidR="0043318A" w:rsidRDefault="0043318A" w:rsidP="009451FB">
      <w:pPr>
        <w:spacing w:line="240" w:lineRule="auto"/>
        <w:jc w:val="both"/>
        <w:rPr>
          <w:rFonts w:ascii="Arial" w:hAnsi="Arial" w:cs="Arial"/>
          <w:b/>
          <w:bCs/>
          <w:sz w:val="24"/>
          <w:szCs w:val="24"/>
          <w:u w:val="single"/>
        </w:rPr>
      </w:pPr>
    </w:p>
    <w:p w14:paraId="240247FA" w14:textId="77777777" w:rsidR="0043318A" w:rsidRDefault="0043318A" w:rsidP="009451FB">
      <w:pPr>
        <w:spacing w:line="240" w:lineRule="auto"/>
        <w:jc w:val="both"/>
        <w:rPr>
          <w:rFonts w:ascii="Arial" w:hAnsi="Arial" w:cs="Arial"/>
          <w:b/>
          <w:bCs/>
          <w:sz w:val="24"/>
          <w:szCs w:val="24"/>
          <w:u w:val="single"/>
        </w:rPr>
      </w:pPr>
    </w:p>
    <w:p w14:paraId="068FFB4B" w14:textId="77777777" w:rsidR="0043318A" w:rsidRDefault="0043318A" w:rsidP="009451FB">
      <w:pPr>
        <w:spacing w:line="240" w:lineRule="auto"/>
        <w:jc w:val="both"/>
        <w:rPr>
          <w:rFonts w:ascii="Arial" w:hAnsi="Arial" w:cs="Arial"/>
          <w:b/>
          <w:bCs/>
          <w:sz w:val="24"/>
          <w:szCs w:val="24"/>
          <w:u w:val="single"/>
        </w:rPr>
      </w:pPr>
    </w:p>
    <w:p w14:paraId="5CA82BEF" w14:textId="77777777" w:rsidR="0043318A" w:rsidRDefault="0043318A" w:rsidP="009451FB">
      <w:pPr>
        <w:spacing w:line="240" w:lineRule="auto"/>
        <w:jc w:val="both"/>
        <w:rPr>
          <w:rFonts w:ascii="Arial" w:hAnsi="Arial" w:cs="Arial"/>
          <w:b/>
          <w:bCs/>
          <w:sz w:val="24"/>
          <w:szCs w:val="24"/>
          <w:u w:val="single"/>
        </w:rPr>
      </w:pPr>
    </w:p>
    <w:p w14:paraId="3AAA58CD" w14:textId="77777777" w:rsidR="0043318A" w:rsidRDefault="0043318A" w:rsidP="009451FB">
      <w:pPr>
        <w:spacing w:line="240" w:lineRule="auto"/>
        <w:jc w:val="both"/>
        <w:rPr>
          <w:rFonts w:ascii="Arial" w:hAnsi="Arial" w:cs="Arial"/>
          <w:b/>
          <w:bCs/>
          <w:sz w:val="24"/>
          <w:szCs w:val="24"/>
          <w:u w:val="single"/>
        </w:rPr>
      </w:pPr>
    </w:p>
    <w:p w14:paraId="341D764F" w14:textId="77777777" w:rsidR="0043318A" w:rsidRDefault="0043318A" w:rsidP="009451FB">
      <w:pPr>
        <w:spacing w:line="240" w:lineRule="auto"/>
        <w:jc w:val="both"/>
        <w:rPr>
          <w:rFonts w:ascii="Arial" w:hAnsi="Arial" w:cs="Arial"/>
          <w:b/>
          <w:bCs/>
          <w:sz w:val="24"/>
          <w:szCs w:val="24"/>
          <w:u w:val="single"/>
        </w:rPr>
      </w:pPr>
    </w:p>
    <w:p w14:paraId="36DE884C" w14:textId="77777777" w:rsidR="0043318A" w:rsidRDefault="0043318A" w:rsidP="0043318A">
      <w:pPr>
        <w:rPr>
          <w:rFonts w:ascii="Arial" w:hAnsi="Arial" w:cs="Arial"/>
          <w:sz w:val="24"/>
          <w:szCs w:val="24"/>
        </w:rPr>
      </w:pPr>
    </w:p>
    <w:p w14:paraId="121F9C03" w14:textId="77777777" w:rsidR="0043318A" w:rsidRDefault="0043318A" w:rsidP="0043318A">
      <w:pPr>
        <w:rPr>
          <w:rFonts w:ascii="Arial" w:hAnsi="Arial" w:cs="Arial"/>
          <w:sz w:val="24"/>
          <w:szCs w:val="24"/>
        </w:rPr>
      </w:pPr>
    </w:p>
    <w:p w14:paraId="61B0CEBE" w14:textId="77777777" w:rsidR="0043318A" w:rsidRDefault="0043318A" w:rsidP="0043318A">
      <w:pPr>
        <w:spacing w:line="240" w:lineRule="auto"/>
        <w:jc w:val="both"/>
        <w:rPr>
          <w:rFonts w:ascii="Arial" w:hAnsi="Arial" w:cs="Arial"/>
          <w:sz w:val="24"/>
          <w:szCs w:val="24"/>
        </w:rPr>
      </w:pPr>
      <w:proofErr w:type="gramStart"/>
      <w:r>
        <w:rPr>
          <w:rFonts w:ascii="Arial" w:hAnsi="Arial" w:cs="Arial"/>
          <w:sz w:val="24"/>
          <w:szCs w:val="24"/>
        </w:rPr>
        <w:t>Resumen  :</w:t>
      </w:r>
      <w:proofErr w:type="gramEnd"/>
      <w:r>
        <w:rPr>
          <w:rFonts w:ascii="Arial" w:hAnsi="Arial" w:cs="Arial"/>
          <w:sz w:val="24"/>
          <w:szCs w:val="24"/>
        </w:rPr>
        <w:t xml:space="preserve"> La brecha de género laboral, previsional y del impuesto a las ganancias en la República Argentina.</w:t>
      </w:r>
    </w:p>
    <w:p w14:paraId="56F83CF1"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Género es el proceso mediante el cual los individuos se convierten en hombres o mujeres, adquiriendo atributos de masculinidad o femineidad. Mientras que el sexo es un atributo biológico, el género es un concepto relacional que define las relaciones de poder, sociales y la construcción de la sexualidad.</w:t>
      </w:r>
    </w:p>
    <w:p w14:paraId="0C46D54D" w14:textId="77777777" w:rsidR="0043318A" w:rsidRDefault="0043318A" w:rsidP="0043318A">
      <w:pPr>
        <w:spacing w:line="240" w:lineRule="auto"/>
        <w:jc w:val="both"/>
        <w:rPr>
          <w:rFonts w:ascii="Arial" w:eastAsiaTheme="minorEastAsia" w:hAnsi="Arial" w:cs="Arial"/>
          <w:b/>
          <w:bCs/>
          <w:color w:val="44546A" w:themeColor="text2"/>
          <w:sz w:val="24"/>
          <w:szCs w:val="24"/>
        </w:rPr>
      </w:pPr>
      <w:r>
        <w:rPr>
          <w:rFonts w:ascii="Arial" w:eastAsiaTheme="minorEastAsia" w:hAnsi="Arial" w:cs="Arial"/>
          <w:b/>
          <w:bCs/>
          <w:color w:val="44546A" w:themeColor="text2"/>
          <w:sz w:val="24"/>
          <w:szCs w:val="24"/>
        </w:rPr>
        <w:t>Identidades y sexualidades</w:t>
      </w:r>
    </w:p>
    <w:p w14:paraId="1471A618" w14:textId="77777777" w:rsidR="0043318A" w:rsidRDefault="0043318A" w:rsidP="0043318A">
      <w:pPr>
        <w:spacing w:line="240" w:lineRule="auto"/>
        <w:jc w:val="both"/>
        <w:rPr>
          <w:rFonts w:ascii="Arial" w:eastAsiaTheme="minorEastAsia" w:hAnsi="Arial" w:cs="Arial"/>
          <w:b/>
          <w:bCs/>
          <w:sz w:val="24"/>
          <w:szCs w:val="24"/>
          <w:lang w:eastAsia="es-AR"/>
        </w:rPr>
      </w:pPr>
      <w:r>
        <w:rPr>
          <w:rFonts w:ascii="Arial" w:eastAsiaTheme="minorEastAsia" w:hAnsi="Arial" w:cs="Arial"/>
          <w:b/>
          <w:bCs/>
          <w:color w:val="385623" w:themeColor="accent6" w:themeShade="80"/>
          <w:sz w:val="24"/>
          <w:szCs w:val="24"/>
          <w:lang w:val="es-ES_tradnl" w:eastAsia="es-AR"/>
        </w:rPr>
        <w:t xml:space="preserve">IDENTIDAD DE GÉNERO: refiere a </w:t>
      </w:r>
      <w:r>
        <w:rPr>
          <w:rFonts w:ascii="Arial" w:eastAsiaTheme="minorEastAsia" w:hAnsi="Arial" w:cs="Arial"/>
          <w:b/>
          <w:bCs/>
          <w:sz w:val="24"/>
          <w:szCs w:val="24"/>
          <w:lang w:eastAsia="es-AR"/>
        </w:rPr>
        <w:t>la vivencia interna e individual del género tal como cada persona la siente, la cual puede corresponder o no con el sexo asignado al momento del nacimiento, incluyendo la vivencia personal del cuerpo.</w:t>
      </w:r>
    </w:p>
    <w:p w14:paraId="66FDA642" w14:textId="77777777" w:rsidR="0043318A" w:rsidRDefault="0043318A" w:rsidP="0043318A">
      <w:pPr>
        <w:spacing w:line="240" w:lineRule="auto"/>
        <w:jc w:val="both"/>
        <w:rPr>
          <w:rFonts w:ascii="Arial" w:eastAsiaTheme="minorEastAsia" w:hAnsi="Arial" w:cs="Arial"/>
          <w:b/>
          <w:bCs/>
          <w:sz w:val="24"/>
          <w:szCs w:val="24"/>
          <w:lang w:eastAsia="es-AR"/>
        </w:rPr>
      </w:pPr>
      <w:r>
        <w:rPr>
          <w:rFonts w:ascii="Arial" w:eastAsiaTheme="minorEastAsia" w:hAnsi="Arial" w:cs="Arial"/>
          <w:b/>
          <w:bCs/>
          <w:color w:val="385623" w:themeColor="accent6" w:themeShade="80"/>
          <w:sz w:val="24"/>
          <w:szCs w:val="24"/>
          <w:lang w:eastAsia="es-AR"/>
        </w:rPr>
        <w:t xml:space="preserve">ORIENTACIÓN SEXUAL: </w:t>
      </w:r>
      <w:r>
        <w:rPr>
          <w:rFonts w:ascii="Arial" w:eastAsiaTheme="minorEastAsia" w:hAnsi="Arial" w:cs="Arial"/>
          <w:b/>
          <w:bCs/>
          <w:sz w:val="24"/>
          <w:szCs w:val="24"/>
          <w:lang w:eastAsia="es-AR"/>
        </w:rPr>
        <w:t>refiere a la “capacidad de cada persona de sentir una profunda atracción emocional, afectiva y sexual por personas de un género diferente al suyo o de su mismo género, o más de un género, así como a la capacidad de mantener relaciones íntimas y sexuales con estas personas”.</w:t>
      </w:r>
    </w:p>
    <w:p w14:paraId="2BE00D04" w14:textId="77777777" w:rsidR="0043318A" w:rsidRDefault="0043318A" w:rsidP="0043318A">
      <w:pPr>
        <w:spacing w:line="240" w:lineRule="auto"/>
        <w:jc w:val="both"/>
        <w:rPr>
          <w:rFonts w:ascii="Arial" w:eastAsia="Times New Roman" w:hAnsi="Arial" w:cs="Arial"/>
          <w:sz w:val="24"/>
          <w:szCs w:val="24"/>
          <w:lang w:eastAsia="es-AR"/>
        </w:rPr>
      </w:pPr>
      <w:r>
        <w:rPr>
          <w:rFonts w:ascii="Arial" w:eastAsiaTheme="minorEastAsia" w:hAnsi="Arial" w:cs="Arial"/>
          <w:b/>
          <w:bCs/>
          <w:color w:val="44546A" w:themeColor="text2"/>
          <w:sz w:val="24"/>
          <w:szCs w:val="24"/>
          <w:lang w:eastAsia="es-AR"/>
        </w:rPr>
        <w:t xml:space="preserve">“Autonomía” : “la capacidad de las personas para tomar decisiones libres e informadas sobre sus vidas, de manera de poder ser y hacer en función de sus propias aspiraciones y deseos en el contexto histórico que las hace posibles” </w:t>
      </w:r>
      <w:r>
        <w:rPr>
          <w:rFonts w:ascii="Arial" w:eastAsiaTheme="minorEastAsia" w:hAnsi="Arial" w:cs="Arial"/>
          <w:color w:val="44546A" w:themeColor="text2"/>
          <w:sz w:val="24"/>
          <w:szCs w:val="24"/>
          <w:lang w:eastAsia="es-AR"/>
        </w:rPr>
        <w:t xml:space="preserve">(CEPAL, 2011). </w:t>
      </w:r>
    </w:p>
    <w:p w14:paraId="4D602087"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Tres son </w:t>
      </w:r>
      <w:proofErr w:type="gramStart"/>
      <w:r>
        <w:rPr>
          <w:rFonts w:ascii="Arial" w:hAnsi="Arial" w:cs="Arial"/>
          <w:sz w:val="24"/>
          <w:szCs w:val="24"/>
        </w:rPr>
        <w:t>las  autonomías</w:t>
      </w:r>
      <w:proofErr w:type="gramEnd"/>
      <w:r>
        <w:rPr>
          <w:rFonts w:ascii="Arial" w:hAnsi="Arial" w:cs="Arial"/>
          <w:sz w:val="24"/>
          <w:szCs w:val="24"/>
        </w:rPr>
        <w:t xml:space="preserve"> a lograr para reducir la brecha de género:  la Autonomía física, la Autonomía económica y la Autonomía en la toma de </w:t>
      </w:r>
      <w:proofErr w:type="spellStart"/>
      <w:r>
        <w:rPr>
          <w:rFonts w:ascii="Arial" w:hAnsi="Arial" w:cs="Arial"/>
          <w:sz w:val="24"/>
          <w:szCs w:val="24"/>
        </w:rPr>
        <w:t>decisiones.En</w:t>
      </w:r>
      <w:proofErr w:type="spellEnd"/>
      <w:r>
        <w:rPr>
          <w:rFonts w:ascii="Arial" w:hAnsi="Arial" w:cs="Arial"/>
          <w:sz w:val="24"/>
          <w:szCs w:val="24"/>
        </w:rPr>
        <w:t xml:space="preserve"> análisis de  la tributación, la situación laboral y previsional , lo podemos enmarcar en las Autonomías de toma de decisiones y Económica.</w:t>
      </w:r>
    </w:p>
    <w:p w14:paraId="7BCCBF38" w14:textId="77777777" w:rsidR="0043318A" w:rsidRDefault="0043318A" w:rsidP="0043318A">
      <w:pPr>
        <w:spacing w:line="240" w:lineRule="auto"/>
        <w:jc w:val="both"/>
        <w:rPr>
          <w:rFonts w:ascii="Arial" w:hAnsi="Arial" w:cs="Arial"/>
          <w:sz w:val="24"/>
          <w:szCs w:val="24"/>
          <w:shd w:val="clear" w:color="auto" w:fill="FFFFFF"/>
        </w:rPr>
      </w:pPr>
      <w:r>
        <w:rPr>
          <w:rFonts w:ascii="Arial" w:hAnsi="Arial" w:cs="Arial"/>
          <w:sz w:val="24"/>
          <w:szCs w:val="24"/>
        </w:rPr>
        <w:t xml:space="preserve">Nuestra Constitución Nacional en la reforma de 1994, incorpora a la CEDAW </w:t>
      </w:r>
      <w:r>
        <w:rPr>
          <w:rFonts w:ascii="Arial" w:hAnsi="Arial" w:cs="Arial"/>
          <w:sz w:val="24"/>
          <w:szCs w:val="24"/>
          <w:shd w:val="clear" w:color="auto" w:fill="FFFFFF"/>
        </w:rPr>
        <w:t xml:space="preserve">Convención sobre la Eliminación de toda forma de Discriminación contra la Mujer </w:t>
      </w:r>
      <w:proofErr w:type="gramStart"/>
      <w:r>
        <w:rPr>
          <w:rFonts w:ascii="Arial" w:hAnsi="Arial" w:cs="Arial"/>
          <w:sz w:val="24"/>
          <w:szCs w:val="24"/>
          <w:shd w:val="clear" w:color="auto" w:fill="FFFFFF"/>
        </w:rPr>
        <w:t>( Naciones</w:t>
      </w:r>
      <w:proofErr w:type="gramEnd"/>
      <w:r>
        <w:rPr>
          <w:rFonts w:ascii="Arial" w:hAnsi="Arial" w:cs="Arial"/>
          <w:sz w:val="24"/>
          <w:szCs w:val="24"/>
          <w:shd w:val="clear" w:color="auto" w:fill="FFFFFF"/>
        </w:rPr>
        <w:t xml:space="preserve"> Unidas 1979) dándole jerarquía constitucional. </w:t>
      </w:r>
    </w:p>
    <w:p w14:paraId="78D0C1EC" w14:textId="77777777" w:rsidR="0043318A" w:rsidRDefault="0043318A" w:rsidP="0043318A">
      <w:pPr>
        <w:spacing w:line="240" w:lineRule="auto"/>
        <w:jc w:val="both"/>
        <w:rPr>
          <w:rFonts w:ascii="Arial" w:hAnsi="Arial" w:cs="Arial"/>
          <w:sz w:val="24"/>
          <w:szCs w:val="24"/>
        </w:rPr>
      </w:pPr>
      <w:r>
        <w:rPr>
          <w:rFonts w:ascii="Arial" w:hAnsi="Arial" w:cs="Arial"/>
          <w:sz w:val="24"/>
          <w:szCs w:val="24"/>
          <w:shd w:val="clear" w:color="auto" w:fill="FFFFFF"/>
        </w:rPr>
        <w:t xml:space="preserve">Variada legislación otorga autonomía física ( leyes sobre </w:t>
      </w:r>
      <w:proofErr w:type="spellStart"/>
      <w:r>
        <w:rPr>
          <w:rFonts w:ascii="Arial" w:hAnsi="Arial" w:cs="Arial"/>
          <w:sz w:val="24"/>
          <w:szCs w:val="24"/>
          <w:shd w:val="clear" w:color="auto" w:fill="FFFFFF"/>
        </w:rPr>
        <w:t>femicidios</w:t>
      </w:r>
      <w:proofErr w:type="spellEnd"/>
      <w:r>
        <w:rPr>
          <w:rFonts w:ascii="Arial" w:hAnsi="Arial" w:cs="Arial"/>
          <w:sz w:val="24"/>
          <w:szCs w:val="24"/>
          <w:shd w:val="clear" w:color="auto" w:fill="FFFFFF"/>
        </w:rPr>
        <w:t xml:space="preserve">, Ley Micaela, Ligadura </w:t>
      </w:r>
      <w:proofErr w:type="spellStart"/>
      <w:r>
        <w:rPr>
          <w:rFonts w:ascii="Arial" w:hAnsi="Arial" w:cs="Arial"/>
          <w:sz w:val="24"/>
          <w:szCs w:val="24"/>
          <w:shd w:val="clear" w:color="auto" w:fill="FFFFFF"/>
        </w:rPr>
        <w:t>Tubaria</w:t>
      </w:r>
      <w:proofErr w:type="spellEnd"/>
      <w:r>
        <w:rPr>
          <w:rFonts w:ascii="Arial" w:hAnsi="Arial" w:cs="Arial"/>
          <w:sz w:val="24"/>
          <w:szCs w:val="24"/>
          <w:shd w:val="clear" w:color="auto" w:fill="FFFFFF"/>
        </w:rPr>
        <w:t xml:space="preserve"> y Vasectomía, Ley contra la Trata, </w:t>
      </w:r>
      <w:proofErr w:type="spellStart"/>
      <w:r>
        <w:rPr>
          <w:rFonts w:ascii="Arial" w:hAnsi="Arial" w:cs="Arial"/>
          <w:sz w:val="24"/>
          <w:szCs w:val="24"/>
          <w:shd w:val="clear" w:color="auto" w:fill="FFFFFF"/>
        </w:rPr>
        <w:t>etc</w:t>
      </w:r>
      <w:proofErr w:type="spellEnd"/>
      <w:r>
        <w:rPr>
          <w:rFonts w:ascii="Arial" w:hAnsi="Arial" w:cs="Arial"/>
          <w:sz w:val="24"/>
          <w:szCs w:val="24"/>
          <w:shd w:val="clear" w:color="auto" w:fill="FFFFFF"/>
        </w:rPr>
        <w:t xml:space="preserve">) autonomía económica ( Ley de contrato de trabajo principio de no discriminación , igual remuneración por igual tarea, ley economía del conocimiento, normativas de la OIT y del Ministerio de trabajo, Moratoria para mujeres, AUH, </w:t>
      </w:r>
      <w:proofErr w:type="spellStart"/>
      <w:r>
        <w:rPr>
          <w:rFonts w:ascii="Arial" w:hAnsi="Arial" w:cs="Arial"/>
          <w:sz w:val="24"/>
          <w:szCs w:val="24"/>
          <w:shd w:val="clear" w:color="auto" w:fill="FFFFFF"/>
        </w:rPr>
        <w:t>etc</w:t>
      </w:r>
      <w:proofErr w:type="spellEnd"/>
      <w:r>
        <w:rPr>
          <w:rFonts w:ascii="Arial" w:hAnsi="Arial" w:cs="Arial"/>
          <w:sz w:val="24"/>
          <w:szCs w:val="24"/>
          <w:shd w:val="clear" w:color="auto" w:fill="FFFFFF"/>
        </w:rPr>
        <w:t xml:space="preserve">) y autonomía en la toma de decisiones ( ley del voto femenino, ley de cupo, resoluciones de IGJ para autoridades societarias, ley de cupo sindical, ley de paridad de género, </w:t>
      </w:r>
      <w:proofErr w:type="spellStart"/>
      <w:r>
        <w:rPr>
          <w:rFonts w:ascii="Arial" w:hAnsi="Arial" w:cs="Arial"/>
          <w:sz w:val="24"/>
          <w:szCs w:val="24"/>
          <w:shd w:val="clear" w:color="auto" w:fill="FFFFFF"/>
        </w:rPr>
        <w:t>etc</w:t>
      </w:r>
      <w:proofErr w:type="spellEnd"/>
      <w:r>
        <w:rPr>
          <w:rFonts w:ascii="Arial" w:hAnsi="Arial" w:cs="Arial"/>
          <w:sz w:val="24"/>
          <w:szCs w:val="24"/>
          <w:shd w:val="clear" w:color="auto" w:fill="FFFFFF"/>
        </w:rPr>
        <w:t xml:space="preserve">) </w:t>
      </w:r>
    </w:p>
    <w:p w14:paraId="7BAC813A"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La invisibilidad del Trabajo Doméstico y de Cuidado no Remunerado, junto con la Crisis del </w:t>
      </w:r>
      <w:proofErr w:type="gramStart"/>
      <w:r>
        <w:rPr>
          <w:rFonts w:ascii="Arial" w:hAnsi="Arial" w:cs="Arial"/>
          <w:sz w:val="24"/>
          <w:szCs w:val="24"/>
        </w:rPr>
        <w:t>Cuidado ,</w:t>
      </w:r>
      <w:proofErr w:type="gramEnd"/>
      <w:r>
        <w:rPr>
          <w:rFonts w:ascii="Arial" w:hAnsi="Arial" w:cs="Arial"/>
          <w:sz w:val="24"/>
          <w:szCs w:val="24"/>
        </w:rPr>
        <w:t xml:space="preserve"> ha puesto sobre el tapete la medición del TDCNR lo que se hará posible gracias a una ley sancionada especialmente al respecto y que llevará a cabo el INDEC, indicadores previos desarrollados por el Ministerio de Economía dan cuenta de la importancia porcentual en el PBI del TDCNR . Esta encuesta junto con el desarrollo del Censo Nacional el año entrante, postergado debido a la </w:t>
      </w:r>
      <w:proofErr w:type="gramStart"/>
      <w:r>
        <w:rPr>
          <w:rFonts w:ascii="Arial" w:hAnsi="Arial" w:cs="Arial"/>
          <w:sz w:val="24"/>
          <w:szCs w:val="24"/>
        </w:rPr>
        <w:t>pandemia ,</w:t>
      </w:r>
      <w:proofErr w:type="gramEnd"/>
      <w:r>
        <w:rPr>
          <w:rFonts w:ascii="Arial" w:hAnsi="Arial" w:cs="Arial"/>
          <w:sz w:val="24"/>
          <w:szCs w:val="24"/>
        </w:rPr>
        <w:t xml:space="preserve"> arrojará luz en detalle sobre la conformación y los recursos de las familias argentinas.</w:t>
      </w:r>
    </w:p>
    <w:p w14:paraId="23E69013"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lastRenderedPageBreak/>
        <w:t xml:space="preserve">Analizando los índices de trabajo asalariado y remunerado femenino vemos la precariedad de los puestos de </w:t>
      </w:r>
      <w:proofErr w:type="gramStart"/>
      <w:r>
        <w:rPr>
          <w:rFonts w:ascii="Arial" w:hAnsi="Arial" w:cs="Arial"/>
          <w:sz w:val="24"/>
          <w:szCs w:val="24"/>
        </w:rPr>
        <w:t>trabajo ,</w:t>
      </w:r>
      <w:proofErr w:type="gramEnd"/>
      <w:r>
        <w:rPr>
          <w:rFonts w:ascii="Arial" w:hAnsi="Arial" w:cs="Arial"/>
          <w:sz w:val="24"/>
          <w:szCs w:val="24"/>
        </w:rPr>
        <w:t xml:space="preserve"> el bajo valor horario y la brecha salarial , aún en actividades consideradas lideradas por las mujeres ( docencia) </w:t>
      </w:r>
    </w:p>
    <w:p w14:paraId="5F31E212"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En los índices de </w:t>
      </w:r>
      <w:proofErr w:type="gramStart"/>
      <w:r>
        <w:rPr>
          <w:rFonts w:ascii="Arial" w:hAnsi="Arial" w:cs="Arial"/>
          <w:sz w:val="24"/>
          <w:szCs w:val="24"/>
        </w:rPr>
        <w:t>desempleo ,</w:t>
      </w:r>
      <w:proofErr w:type="gramEnd"/>
      <w:r>
        <w:rPr>
          <w:rFonts w:ascii="Arial" w:hAnsi="Arial" w:cs="Arial"/>
          <w:sz w:val="24"/>
          <w:szCs w:val="24"/>
        </w:rPr>
        <w:t xml:space="preserve"> vemos ratios muy preocupantes en mujeres jóvenes de menos de 29 años, mientras que los mejores números de empleo se dan en Jefes de Hogar. Más del 90% de los trabajadores de Casas particulares son mujeres. Un sector con un bajo valor horario, aún en el sector que representan mayoría y se trata de trabajo remunerado,  es el más bajo en valor horario.</w:t>
      </w:r>
    </w:p>
    <w:p w14:paraId="17BABD16"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La informalidad del trabajo femenino, el bajo valor horario, la brecha salarial respecto a los varones, la intermitencia del trabajo </w:t>
      </w:r>
      <w:proofErr w:type="gramStart"/>
      <w:r>
        <w:rPr>
          <w:rFonts w:ascii="Arial" w:hAnsi="Arial" w:cs="Arial"/>
          <w:sz w:val="24"/>
          <w:szCs w:val="24"/>
        </w:rPr>
        <w:t>femenino ,</w:t>
      </w:r>
      <w:proofErr w:type="gramEnd"/>
      <w:r>
        <w:rPr>
          <w:rFonts w:ascii="Arial" w:hAnsi="Arial" w:cs="Arial"/>
          <w:sz w:val="24"/>
          <w:szCs w:val="24"/>
        </w:rPr>
        <w:t xml:space="preserve"> hace que la densidad de aportes para acceder a beneficios previsionales sea un 10% inferior a la de los varones. Lo que se avecina es un umbral de 500.000 mujeres aproximadamente que no podrían jubilarse. Actualmente existe una moratoria previsional que permite completar aportes para que las mujeres puedan </w:t>
      </w:r>
      <w:proofErr w:type="gramStart"/>
      <w:r>
        <w:rPr>
          <w:rFonts w:ascii="Arial" w:hAnsi="Arial" w:cs="Arial"/>
          <w:sz w:val="24"/>
          <w:szCs w:val="24"/>
        </w:rPr>
        <w:t>jubilarse ,</w:t>
      </w:r>
      <w:proofErr w:type="gramEnd"/>
      <w:r>
        <w:rPr>
          <w:rFonts w:ascii="Arial" w:hAnsi="Arial" w:cs="Arial"/>
          <w:sz w:val="24"/>
          <w:szCs w:val="24"/>
        </w:rPr>
        <w:t xml:space="preserve"> pero no la totalidad de los mismos ( 30 años ).La moratoria de las jubilaciones para las amas de casa fue una política de género sin proponérselo.</w:t>
      </w:r>
    </w:p>
    <w:p w14:paraId="71F4A1B9"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Es fundamental el rol del Ministerio de Trabajo, del Ministerio de Género y Diversidades y de las entidades sindicales para poder concretar condiciones dignas laborales  y trato igualitario en el trabajo femenino. </w:t>
      </w:r>
    </w:p>
    <w:p w14:paraId="50ED20E7"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El impuesto a las ganancias al permitir la deducción del cónyuge que no tiene </w:t>
      </w:r>
      <w:proofErr w:type="gramStart"/>
      <w:r>
        <w:rPr>
          <w:rFonts w:ascii="Arial" w:hAnsi="Arial" w:cs="Arial"/>
          <w:sz w:val="24"/>
          <w:szCs w:val="24"/>
        </w:rPr>
        <w:t>ingresos ,</w:t>
      </w:r>
      <w:proofErr w:type="gramEnd"/>
      <w:r>
        <w:rPr>
          <w:rFonts w:ascii="Arial" w:hAnsi="Arial" w:cs="Arial"/>
          <w:sz w:val="24"/>
          <w:szCs w:val="24"/>
        </w:rPr>
        <w:t xml:space="preserve"> y no establecer ninguna deducción adicional a las madres de Hogares Monoparentales con hijos que son Jefas de Hogar, </w:t>
      </w:r>
      <w:proofErr w:type="spellStart"/>
      <w:r>
        <w:rPr>
          <w:rFonts w:ascii="Arial" w:hAnsi="Arial" w:cs="Arial"/>
          <w:sz w:val="24"/>
          <w:szCs w:val="24"/>
        </w:rPr>
        <w:t>invisibiliza</w:t>
      </w:r>
      <w:proofErr w:type="spellEnd"/>
      <w:r>
        <w:rPr>
          <w:rFonts w:ascii="Arial" w:hAnsi="Arial" w:cs="Arial"/>
          <w:sz w:val="24"/>
          <w:szCs w:val="24"/>
        </w:rPr>
        <w:t xml:space="preserve"> la situación de miles de mujeres que llevan adelante el doble rol de trabajo remunerado y no remunerado.</w:t>
      </w:r>
    </w:p>
    <w:p w14:paraId="341430EF"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La brecha de género desde el punto de vista de la autonomía económica, puede ser reducida progresivamente con la mayor incorporación de la mujer al mercado de trabajo, incentivando el principio de igual remuneración por igual tarea y deducciones impositivas para Jefas de Hogares Monoparentales, así como mayores Deducciones por Hijos, o el llamado Bono por hijo al estilo chileno. </w:t>
      </w:r>
    </w:p>
    <w:p w14:paraId="05A613B3"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Fomentar la capacitación y contratación de cuidadores de niños, enfermos y personas de la tercera edad. Con normativas laborales e impositivas que las promocionen. </w:t>
      </w:r>
    </w:p>
    <w:p w14:paraId="4F4E6975"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En el plano previsional, para lograr cierta equidad prorrogar las moratorias para que las mujeres puedan acceder a un beneficio previsional, o que vía las empresas se puedan regularizar </w:t>
      </w:r>
      <w:proofErr w:type="gramStart"/>
      <w:r>
        <w:rPr>
          <w:rFonts w:ascii="Arial" w:hAnsi="Arial" w:cs="Arial"/>
          <w:sz w:val="24"/>
          <w:szCs w:val="24"/>
        </w:rPr>
        <w:t>aportes .</w:t>
      </w:r>
      <w:proofErr w:type="gramEnd"/>
    </w:p>
    <w:p w14:paraId="0E308686"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Revalorizar socialmente el trabajo doméstico y de cuidado como sostén de toda la economía Ley EUT a ser ejecutada por el INDEC.</w:t>
      </w:r>
    </w:p>
    <w:p w14:paraId="76A56E0F" w14:textId="77777777" w:rsidR="0043318A" w:rsidRDefault="0043318A" w:rsidP="0043318A">
      <w:pPr>
        <w:spacing w:line="240" w:lineRule="auto"/>
        <w:jc w:val="both"/>
        <w:rPr>
          <w:rFonts w:ascii="Arial" w:hAnsi="Arial" w:cs="Arial"/>
          <w:sz w:val="24"/>
          <w:szCs w:val="24"/>
        </w:rPr>
      </w:pPr>
      <w:r>
        <w:rPr>
          <w:rFonts w:ascii="Arial" w:hAnsi="Arial" w:cs="Arial"/>
          <w:sz w:val="24"/>
          <w:szCs w:val="24"/>
        </w:rPr>
        <w:t xml:space="preserve">En suma repensar el sistema tributario y previsional para que sea funcional a la reducción de la brecha de género, necesaria para lograr el punto de partida inicial de la Equidad de Género. </w:t>
      </w:r>
    </w:p>
    <w:p w14:paraId="437C3C2C" w14:textId="77777777" w:rsidR="0043318A" w:rsidRDefault="0043318A" w:rsidP="0043318A">
      <w:pPr>
        <w:spacing w:line="240" w:lineRule="auto"/>
        <w:jc w:val="both"/>
        <w:rPr>
          <w:rFonts w:ascii="Arial" w:hAnsi="Arial" w:cs="Arial"/>
          <w:sz w:val="24"/>
          <w:szCs w:val="24"/>
        </w:rPr>
      </w:pPr>
    </w:p>
    <w:p w14:paraId="101D2E3E" w14:textId="77777777" w:rsidR="0043318A" w:rsidRDefault="0043318A" w:rsidP="0043318A">
      <w:pPr>
        <w:spacing w:line="240" w:lineRule="auto"/>
        <w:jc w:val="both"/>
        <w:rPr>
          <w:rFonts w:ascii="Arial" w:hAnsi="Arial" w:cs="Arial"/>
          <w:sz w:val="24"/>
          <w:szCs w:val="24"/>
        </w:rPr>
      </w:pPr>
    </w:p>
    <w:p w14:paraId="4A83B439" w14:textId="77777777" w:rsidR="0043318A" w:rsidRDefault="0043318A" w:rsidP="0043318A">
      <w:pPr>
        <w:spacing w:line="240" w:lineRule="auto"/>
        <w:jc w:val="both"/>
        <w:rPr>
          <w:rFonts w:ascii="Arial" w:hAnsi="Arial" w:cs="Arial"/>
          <w:sz w:val="24"/>
          <w:szCs w:val="24"/>
        </w:rPr>
      </w:pPr>
    </w:p>
    <w:p w14:paraId="39A5D549" w14:textId="77777777" w:rsidR="0043318A" w:rsidRDefault="0043318A" w:rsidP="0043318A">
      <w:pPr>
        <w:spacing w:line="240" w:lineRule="auto"/>
        <w:jc w:val="both"/>
        <w:rPr>
          <w:rFonts w:ascii="Arial" w:hAnsi="Arial" w:cs="Arial"/>
          <w:sz w:val="24"/>
          <w:szCs w:val="24"/>
        </w:rPr>
      </w:pPr>
    </w:p>
    <w:p w14:paraId="29F41E8C" w14:textId="77777777" w:rsidR="0043318A" w:rsidRDefault="0043318A" w:rsidP="0043318A">
      <w:pPr>
        <w:spacing w:line="240" w:lineRule="auto"/>
        <w:jc w:val="both"/>
        <w:rPr>
          <w:rFonts w:ascii="Arial" w:hAnsi="Arial" w:cs="Arial"/>
          <w:sz w:val="24"/>
          <w:szCs w:val="24"/>
        </w:rPr>
      </w:pPr>
    </w:p>
    <w:p w14:paraId="1544B036" w14:textId="77777777" w:rsidR="0043318A" w:rsidRDefault="0043318A" w:rsidP="0043318A">
      <w:pPr>
        <w:spacing w:line="240" w:lineRule="auto"/>
        <w:jc w:val="both"/>
        <w:rPr>
          <w:rFonts w:ascii="Arial" w:hAnsi="Arial" w:cs="Arial"/>
          <w:sz w:val="24"/>
          <w:szCs w:val="24"/>
        </w:rPr>
      </w:pPr>
    </w:p>
    <w:p w14:paraId="69507343" w14:textId="77777777" w:rsidR="0043318A" w:rsidRDefault="0043318A" w:rsidP="009451FB">
      <w:pPr>
        <w:spacing w:line="240" w:lineRule="auto"/>
        <w:jc w:val="both"/>
        <w:rPr>
          <w:rFonts w:ascii="Arial" w:hAnsi="Arial" w:cs="Arial"/>
          <w:b/>
          <w:bCs/>
          <w:sz w:val="24"/>
          <w:szCs w:val="24"/>
          <w:u w:val="single"/>
        </w:rPr>
      </w:pPr>
    </w:p>
    <w:p w14:paraId="4E62C4E1" w14:textId="77777777" w:rsidR="0043318A" w:rsidRDefault="0043318A" w:rsidP="009451FB">
      <w:pPr>
        <w:spacing w:line="240" w:lineRule="auto"/>
        <w:jc w:val="both"/>
        <w:rPr>
          <w:rFonts w:ascii="Arial" w:hAnsi="Arial" w:cs="Arial"/>
          <w:b/>
          <w:bCs/>
          <w:sz w:val="24"/>
          <w:szCs w:val="24"/>
          <w:u w:val="single"/>
        </w:rPr>
      </w:pPr>
    </w:p>
    <w:p w14:paraId="3E27C906" w14:textId="77777777" w:rsidR="0043318A" w:rsidRDefault="0043318A" w:rsidP="009451FB">
      <w:pPr>
        <w:spacing w:line="240" w:lineRule="auto"/>
        <w:jc w:val="both"/>
        <w:rPr>
          <w:rFonts w:ascii="Arial" w:hAnsi="Arial" w:cs="Arial"/>
          <w:b/>
          <w:bCs/>
          <w:sz w:val="24"/>
          <w:szCs w:val="24"/>
          <w:u w:val="single"/>
        </w:rPr>
      </w:pPr>
    </w:p>
    <w:p w14:paraId="1757CA7E" w14:textId="77777777" w:rsidR="0043318A" w:rsidRDefault="0043318A" w:rsidP="009451FB">
      <w:pPr>
        <w:spacing w:line="240" w:lineRule="auto"/>
        <w:jc w:val="both"/>
        <w:rPr>
          <w:rFonts w:ascii="Arial" w:hAnsi="Arial" w:cs="Arial"/>
          <w:b/>
          <w:bCs/>
          <w:sz w:val="24"/>
          <w:szCs w:val="24"/>
          <w:u w:val="single"/>
        </w:rPr>
      </w:pPr>
    </w:p>
    <w:p w14:paraId="1DFFF90D" w14:textId="77777777" w:rsidR="0043318A" w:rsidRDefault="0043318A" w:rsidP="009451FB">
      <w:pPr>
        <w:spacing w:line="240" w:lineRule="auto"/>
        <w:jc w:val="both"/>
        <w:rPr>
          <w:rFonts w:ascii="Arial" w:hAnsi="Arial" w:cs="Arial"/>
          <w:b/>
          <w:bCs/>
          <w:sz w:val="24"/>
          <w:szCs w:val="24"/>
          <w:u w:val="single"/>
        </w:rPr>
      </w:pPr>
    </w:p>
    <w:p w14:paraId="000220D2" w14:textId="77777777" w:rsidR="0043318A" w:rsidRPr="009451FB" w:rsidRDefault="0043318A" w:rsidP="009451FB">
      <w:pPr>
        <w:spacing w:line="240" w:lineRule="auto"/>
        <w:jc w:val="both"/>
        <w:rPr>
          <w:rFonts w:ascii="Arial" w:hAnsi="Arial" w:cs="Arial"/>
          <w:b/>
          <w:bCs/>
          <w:sz w:val="24"/>
          <w:szCs w:val="24"/>
          <w:u w:val="single"/>
        </w:rPr>
      </w:pPr>
    </w:p>
    <w:sectPr w:rsidR="0043318A" w:rsidRPr="009451FB" w:rsidSect="009451FB">
      <w:type w:val="continuous"/>
      <w:pgSz w:w="11910" w:h="16840" w:code="9"/>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F14031"/>
    <w:multiLevelType w:val="hybridMultilevel"/>
    <w:tmpl w:val="CAD4C780"/>
    <w:lvl w:ilvl="0" w:tplc="30F8DF7E">
      <w:start w:val="1"/>
      <w:numFmt w:val="bullet"/>
      <w:lvlText w:val=""/>
      <w:lvlJc w:val="left"/>
      <w:pPr>
        <w:tabs>
          <w:tab w:val="num" w:pos="720"/>
        </w:tabs>
        <w:ind w:left="720" w:hanging="360"/>
      </w:pPr>
      <w:rPr>
        <w:rFonts w:ascii="Wingdings" w:hAnsi="Wingdings" w:hint="default"/>
      </w:rPr>
    </w:lvl>
    <w:lvl w:ilvl="1" w:tplc="68888542" w:tentative="1">
      <w:start w:val="1"/>
      <w:numFmt w:val="bullet"/>
      <w:lvlText w:val=""/>
      <w:lvlJc w:val="left"/>
      <w:pPr>
        <w:tabs>
          <w:tab w:val="num" w:pos="1440"/>
        </w:tabs>
        <w:ind w:left="1440" w:hanging="360"/>
      </w:pPr>
      <w:rPr>
        <w:rFonts w:ascii="Wingdings" w:hAnsi="Wingdings" w:hint="default"/>
      </w:rPr>
    </w:lvl>
    <w:lvl w:ilvl="2" w:tplc="9AAC50FE" w:tentative="1">
      <w:start w:val="1"/>
      <w:numFmt w:val="bullet"/>
      <w:lvlText w:val=""/>
      <w:lvlJc w:val="left"/>
      <w:pPr>
        <w:tabs>
          <w:tab w:val="num" w:pos="2160"/>
        </w:tabs>
        <w:ind w:left="2160" w:hanging="360"/>
      </w:pPr>
      <w:rPr>
        <w:rFonts w:ascii="Wingdings" w:hAnsi="Wingdings" w:hint="default"/>
      </w:rPr>
    </w:lvl>
    <w:lvl w:ilvl="3" w:tplc="A3E86984" w:tentative="1">
      <w:start w:val="1"/>
      <w:numFmt w:val="bullet"/>
      <w:lvlText w:val=""/>
      <w:lvlJc w:val="left"/>
      <w:pPr>
        <w:tabs>
          <w:tab w:val="num" w:pos="2880"/>
        </w:tabs>
        <w:ind w:left="2880" w:hanging="360"/>
      </w:pPr>
      <w:rPr>
        <w:rFonts w:ascii="Wingdings" w:hAnsi="Wingdings" w:hint="default"/>
      </w:rPr>
    </w:lvl>
    <w:lvl w:ilvl="4" w:tplc="58922C7E" w:tentative="1">
      <w:start w:val="1"/>
      <w:numFmt w:val="bullet"/>
      <w:lvlText w:val=""/>
      <w:lvlJc w:val="left"/>
      <w:pPr>
        <w:tabs>
          <w:tab w:val="num" w:pos="3600"/>
        </w:tabs>
        <w:ind w:left="3600" w:hanging="360"/>
      </w:pPr>
      <w:rPr>
        <w:rFonts w:ascii="Wingdings" w:hAnsi="Wingdings" w:hint="default"/>
      </w:rPr>
    </w:lvl>
    <w:lvl w:ilvl="5" w:tplc="4E26767C" w:tentative="1">
      <w:start w:val="1"/>
      <w:numFmt w:val="bullet"/>
      <w:lvlText w:val=""/>
      <w:lvlJc w:val="left"/>
      <w:pPr>
        <w:tabs>
          <w:tab w:val="num" w:pos="4320"/>
        </w:tabs>
        <w:ind w:left="4320" w:hanging="360"/>
      </w:pPr>
      <w:rPr>
        <w:rFonts w:ascii="Wingdings" w:hAnsi="Wingdings" w:hint="default"/>
      </w:rPr>
    </w:lvl>
    <w:lvl w:ilvl="6" w:tplc="E3E8DB78" w:tentative="1">
      <w:start w:val="1"/>
      <w:numFmt w:val="bullet"/>
      <w:lvlText w:val=""/>
      <w:lvlJc w:val="left"/>
      <w:pPr>
        <w:tabs>
          <w:tab w:val="num" w:pos="5040"/>
        </w:tabs>
        <w:ind w:left="5040" w:hanging="360"/>
      </w:pPr>
      <w:rPr>
        <w:rFonts w:ascii="Wingdings" w:hAnsi="Wingdings" w:hint="default"/>
      </w:rPr>
    </w:lvl>
    <w:lvl w:ilvl="7" w:tplc="2B60586C" w:tentative="1">
      <w:start w:val="1"/>
      <w:numFmt w:val="bullet"/>
      <w:lvlText w:val=""/>
      <w:lvlJc w:val="left"/>
      <w:pPr>
        <w:tabs>
          <w:tab w:val="num" w:pos="5760"/>
        </w:tabs>
        <w:ind w:left="5760" w:hanging="360"/>
      </w:pPr>
      <w:rPr>
        <w:rFonts w:ascii="Wingdings" w:hAnsi="Wingdings" w:hint="default"/>
      </w:rPr>
    </w:lvl>
    <w:lvl w:ilvl="8" w:tplc="7D56E8B4"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10C0B64"/>
    <w:multiLevelType w:val="hybridMultilevel"/>
    <w:tmpl w:val="494A162A"/>
    <w:lvl w:ilvl="0" w:tplc="A544C134">
      <w:start w:val="1"/>
      <w:numFmt w:val="bullet"/>
      <w:lvlText w:val="•"/>
      <w:lvlJc w:val="left"/>
      <w:pPr>
        <w:tabs>
          <w:tab w:val="num" w:pos="720"/>
        </w:tabs>
        <w:ind w:left="720" w:hanging="360"/>
      </w:pPr>
      <w:rPr>
        <w:rFonts w:ascii="Times New Roman" w:hAnsi="Times New Roman" w:hint="default"/>
      </w:rPr>
    </w:lvl>
    <w:lvl w:ilvl="1" w:tplc="7B029126" w:tentative="1">
      <w:start w:val="1"/>
      <w:numFmt w:val="bullet"/>
      <w:lvlText w:val="•"/>
      <w:lvlJc w:val="left"/>
      <w:pPr>
        <w:tabs>
          <w:tab w:val="num" w:pos="1440"/>
        </w:tabs>
        <w:ind w:left="1440" w:hanging="360"/>
      </w:pPr>
      <w:rPr>
        <w:rFonts w:ascii="Times New Roman" w:hAnsi="Times New Roman" w:hint="default"/>
      </w:rPr>
    </w:lvl>
    <w:lvl w:ilvl="2" w:tplc="E304D562" w:tentative="1">
      <w:start w:val="1"/>
      <w:numFmt w:val="bullet"/>
      <w:lvlText w:val="•"/>
      <w:lvlJc w:val="left"/>
      <w:pPr>
        <w:tabs>
          <w:tab w:val="num" w:pos="2160"/>
        </w:tabs>
        <w:ind w:left="2160" w:hanging="360"/>
      </w:pPr>
      <w:rPr>
        <w:rFonts w:ascii="Times New Roman" w:hAnsi="Times New Roman" w:hint="default"/>
      </w:rPr>
    </w:lvl>
    <w:lvl w:ilvl="3" w:tplc="8BA4988E" w:tentative="1">
      <w:start w:val="1"/>
      <w:numFmt w:val="bullet"/>
      <w:lvlText w:val="•"/>
      <w:lvlJc w:val="left"/>
      <w:pPr>
        <w:tabs>
          <w:tab w:val="num" w:pos="2880"/>
        </w:tabs>
        <w:ind w:left="2880" w:hanging="360"/>
      </w:pPr>
      <w:rPr>
        <w:rFonts w:ascii="Times New Roman" w:hAnsi="Times New Roman" w:hint="default"/>
      </w:rPr>
    </w:lvl>
    <w:lvl w:ilvl="4" w:tplc="0CA2E8BC" w:tentative="1">
      <w:start w:val="1"/>
      <w:numFmt w:val="bullet"/>
      <w:lvlText w:val="•"/>
      <w:lvlJc w:val="left"/>
      <w:pPr>
        <w:tabs>
          <w:tab w:val="num" w:pos="3600"/>
        </w:tabs>
        <w:ind w:left="3600" w:hanging="360"/>
      </w:pPr>
      <w:rPr>
        <w:rFonts w:ascii="Times New Roman" w:hAnsi="Times New Roman" w:hint="default"/>
      </w:rPr>
    </w:lvl>
    <w:lvl w:ilvl="5" w:tplc="3C9C9790" w:tentative="1">
      <w:start w:val="1"/>
      <w:numFmt w:val="bullet"/>
      <w:lvlText w:val="•"/>
      <w:lvlJc w:val="left"/>
      <w:pPr>
        <w:tabs>
          <w:tab w:val="num" w:pos="4320"/>
        </w:tabs>
        <w:ind w:left="4320" w:hanging="360"/>
      </w:pPr>
      <w:rPr>
        <w:rFonts w:ascii="Times New Roman" w:hAnsi="Times New Roman" w:hint="default"/>
      </w:rPr>
    </w:lvl>
    <w:lvl w:ilvl="6" w:tplc="129ADC32" w:tentative="1">
      <w:start w:val="1"/>
      <w:numFmt w:val="bullet"/>
      <w:lvlText w:val="•"/>
      <w:lvlJc w:val="left"/>
      <w:pPr>
        <w:tabs>
          <w:tab w:val="num" w:pos="5040"/>
        </w:tabs>
        <w:ind w:left="5040" w:hanging="360"/>
      </w:pPr>
      <w:rPr>
        <w:rFonts w:ascii="Times New Roman" w:hAnsi="Times New Roman" w:hint="default"/>
      </w:rPr>
    </w:lvl>
    <w:lvl w:ilvl="7" w:tplc="F05823DC" w:tentative="1">
      <w:start w:val="1"/>
      <w:numFmt w:val="bullet"/>
      <w:lvlText w:val="•"/>
      <w:lvlJc w:val="left"/>
      <w:pPr>
        <w:tabs>
          <w:tab w:val="num" w:pos="5760"/>
        </w:tabs>
        <w:ind w:left="5760" w:hanging="360"/>
      </w:pPr>
      <w:rPr>
        <w:rFonts w:ascii="Times New Roman" w:hAnsi="Times New Roman" w:hint="default"/>
      </w:rPr>
    </w:lvl>
    <w:lvl w:ilvl="8" w:tplc="25F0EFE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21B14674"/>
    <w:multiLevelType w:val="hybridMultilevel"/>
    <w:tmpl w:val="678E4880"/>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 w15:restartNumberingAfterBreak="0">
    <w:nsid w:val="2FD24DC4"/>
    <w:multiLevelType w:val="hybridMultilevel"/>
    <w:tmpl w:val="339070C4"/>
    <w:lvl w:ilvl="0" w:tplc="95241438">
      <w:start w:val="1"/>
      <w:numFmt w:val="bullet"/>
      <w:lvlText w:val=""/>
      <w:lvlJc w:val="left"/>
      <w:pPr>
        <w:tabs>
          <w:tab w:val="num" w:pos="720"/>
        </w:tabs>
        <w:ind w:left="720" w:hanging="360"/>
      </w:pPr>
      <w:rPr>
        <w:rFonts w:ascii="Wingdings" w:hAnsi="Wingdings" w:hint="default"/>
      </w:rPr>
    </w:lvl>
    <w:lvl w:ilvl="1" w:tplc="2FDA441A" w:tentative="1">
      <w:start w:val="1"/>
      <w:numFmt w:val="bullet"/>
      <w:lvlText w:val=""/>
      <w:lvlJc w:val="left"/>
      <w:pPr>
        <w:tabs>
          <w:tab w:val="num" w:pos="1440"/>
        </w:tabs>
        <w:ind w:left="1440" w:hanging="360"/>
      </w:pPr>
      <w:rPr>
        <w:rFonts w:ascii="Wingdings" w:hAnsi="Wingdings" w:hint="default"/>
      </w:rPr>
    </w:lvl>
    <w:lvl w:ilvl="2" w:tplc="21BCA9F2" w:tentative="1">
      <w:start w:val="1"/>
      <w:numFmt w:val="bullet"/>
      <w:lvlText w:val=""/>
      <w:lvlJc w:val="left"/>
      <w:pPr>
        <w:tabs>
          <w:tab w:val="num" w:pos="2160"/>
        </w:tabs>
        <w:ind w:left="2160" w:hanging="360"/>
      </w:pPr>
      <w:rPr>
        <w:rFonts w:ascii="Wingdings" w:hAnsi="Wingdings" w:hint="default"/>
      </w:rPr>
    </w:lvl>
    <w:lvl w:ilvl="3" w:tplc="45D200D2" w:tentative="1">
      <w:start w:val="1"/>
      <w:numFmt w:val="bullet"/>
      <w:lvlText w:val=""/>
      <w:lvlJc w:val="left"/>
      <w:pPr>
        <w:tabs>
          <w:tab w:val="num" w:pos="2880"/>
        </w:tabs>
        <w:ind w:left="2880" w:hanging="360"/>
      </w:pPr>
      <w:rPr>
        <w:rFonts w:ascii="Wingdings" w:hAnsi="Wingdings" w:hint="default"/>
      </w:rPr>
    </w:lvl>
    <w:lvl w:ilvl="4" w:tplc="CC94F0DC" w:tentative="1">
      <w:start w:val="1"/>
      <w:numFmt w:val="bullet"/>
      <w:lvlText w:val=""/>
      <w:lvlJc w:val="left"/>
      <w:pPr>
        <w:tabs>
          <w:tab w:val="num" w:pos="3600"/>
        </w:tabs>
        <w:ind w:left="3600" w:hanging="360"/>
      </w:pPr>
      <w:rPr>
        <w:rFonts w:ascii="Wingdings" w:hAnsi="Wingdings" w:hint="default"/>
      </w:rPr>
    </w:lvl>
    <w:lvl w:ilvl="5" w:tplc="BA1662F0" w:tentative="1">
      <w:start w:val="1"/>
      <w:numFmt w:val="bullet"/>
      <w:lvlText w:val=""/>
      <w:lvlJc w:val="left"/>
      <w:pPr>
        <w:tabs>
          <w:tab w:val="num" w:pos="4320"/>
        </w:tabs>
        <w:ind w:left="4320" w:hanging="360"/>
      </w:pPr>
      <w:rPr>
        <w:rFonts w:ascii="Wingdings" w:hAnsi="Wingdings" w:hint="default"/>
      </w:rPr>
    </w:lvl>
    <w:lvl w:ilvl="6" w:tplc="076C10F8" w:tentative="1">
      <w:start w:val="1"/>
      <w:numFmt w:val="bullet"/>
      <w:lvlText w:val=""/>
      <w:lvlJc w:val="left"/>
      <w:pPr>
        <w:tabs>
          <w:tab w:val="num" w:pos="5040"/>
        </w:tabs>
        <w:ind w:left="5040" w:hanging="360"/>
      </w:pPr>
      <w:rPr>
        <w:rFonts w:ascii="Wingdings" w:hAnsi="Wingdings" w:hint="default"/>
      </w:rPr>
    </w:lvl>
    <w:lvl w:ilvl="7" w:tplc="6E32CF84" w:tentative="1">
      <w:start w:val="1"/>
      <w:numFmt w:val="bullet"/>
      <w:lvlText w:val=""/>
      <w:lvlJc w:val="left"/>
      <w:pPr>
        <w:tabs>
          <w:tab w:val="num" w:pos="5760"/>
        </w:tabs>
        <w:ind w:left="5760" w:hanging="360"/>
      </w:pPr>
      <w:rPr>
        <w:rFonts w:ascii="Wingdings" w:hAnsi="Wingdings" w:hint="default"/>
      </w:rPr>
    </w:lvl>
    <w:lvl w:ilvl="8" w:tplc="AFB6464C"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0268C2"/>
    <w:multiLevelType w:val="hybridMultilevel"/>
    <w:tmpl w:val="DEF29668"/>
    <w:lvl w:ilvl="0" w:tplc="080C0742">
      <w:start w:val="1"/>
      <w:numFmt w:val="bullet"/>
      <w:lvlText w:val="•"/>
      <w:lvlJc w:val="left"/>
      <w:pPr>
        <w:tabs>
          <w:tab w:val="num" w:pos="-210"/>
        </w:tabs>
        <w:ind w:left="-210" w:hanging="360"/>
      </w:pPr>
      <w:rPr>
        <w:rFonts w:ascii="Times New Roman" w:hAnsi="Times New Roman" w:hint="default"/>
      </w:rPr>
    </w:lvl>
    <w:lvl w:ilvl="1" w:tplc="C7C201F8">
      <w:start w:val="1"/>
      <w:numFmt w:val="bullet"/>
      <w:lvlText w:val="•"/>
      <w:lvlJc w:val="left"/>
      <w:pPr>
        <w:tabs>
          <w:tab w:val="num" w:pos="510"/>
        </w:tabs>
        <w:ind w:left="510" w:hanging="360"/>
      </w:pPr>
      <w:rPr>
        <w:rFonts w:ascii="Times New Roman" w:hAnsi="Times New Roman" w:hint="default"/>
      </w:rPr>
    </w:lvl>
    <w:lvl w:ilvl="2" w:tplc="CB7CF1E6">
      <w:start w:val="1"/>
      <w:numFmt w:val="bullet"/>
      <w:lvlText w:val="•"/>
      <w:lvlJc w:val="left"/>
      <w:pPr>
        <w:tabs>
          <w:tab w:val="num" w:pos="1230"/>
        </w:tabs>
        <w:ind w:left="1230" w:hanging="360"/>
      </w:pPr>
      <w:rPr>
        <w:rFonts w:ascii="Times New Roman" w:hAnsi="Times New Roman" w:hint="default"/>
      </w:rPr>
    </w:lvl>
    <w:lvl w:ilvl="3" w:tplc="CEFAE124" w:tentative="1">
      <w:start w:val="1"/>
      <w:numFmt w:val="bullet"/>
      <w:lvlText w:val="•"/>
      <w:lvlJc w:val="left"/>
      <w:pPr>
        <w:tabs>
          <w:tab w:val="num" w:pos="1950"/>
        </w:tabs>
        <w:ind w:left="1950" w:hanging="360"/>
      </w:pPr>
      <w:rPr>
        <w:rFonts w:ascii="Times New Roman" w:hAnsi="Times New Roman" w:hint="default"/>
      </w:rPr>
    </w:lvl>
    <w:lvl w:ilvl="4" w:tplc="D2C0AD92" w:tentative="1">
      <w:start w:val="1"/>
      <w:numFmt w:val="bullet"/>
      <w:lvlText w:val="•"/>
      <w:lvlJc w:val="left"/>
      <w:pPr>
        <w:tabs>
          <w:tab w:val="num" w:pos="2670"/>
        </w:tabs>
        <w:ind w:left="2670" w:hanging="360"/>
      </w:pPr>
      <w:rPr>
        <w:rFonts w:ascii="Times New Roman" w:hAnsi="Times New Roman" w:hint="default"/>
      </w:rPr>
    </w:lvl>
    <w:lvl w:ilvl="5" w:tplc="2ACE7BB4" w:tentative="1">
      <w:start w:val="1"/>
      <w:numFmt w:val="bullet"/>
      <w:lvlText w:val="•"/>
      <w:lvlJc w:val="left"/>
      <w:pPr>
        <w:tabs>
          <w:tab w:val="num" w:pos="3390"/>
        </w:tabs>
        <w:ind w:left="3390" w:hanging="360"/>
      </w:pPr>
      <w:rPr>
        <w:rFonts w:ascii="Times New Roman" w:hAnsi="Times New Roman" w:hint="default"/>
      </w:rPr>
    </w:lvl>
    <w:lvl w:ilvl="6" w:tplc="4ACE3B64" w:tentative="1">
      <w:start w:val="1"/>
      <w:numFmt w:val="bullet"/>
      <w:lvlText w:val="•"/>
      <w:lvlJc w:val="left"/>
      <w:pPr>
        <w:tabs>
          <w:tab w:val="num" w:pos="4110"/>
        </w:tabs>
        <w:ind w:left="4110" w:hanging="360"/>
      </w:pPr>
      <w:rPr>
        <w:rFonts w:ascii="Times New Roman" w:hAnsi="Times New Roman" w:hint="default"/>
      </w:rPr>
    </w:lvl>
    <w:lvl w:ilvl="7" w:tplc="DAE051AA" w:tentative="1">
      <w:start w:val="1"/>
      <w:numFmt w:val="bullet"/>
      <w:lvlText w:val="•"/>
      <w:lvlJc w:val="left"/>
      <w:pPr>
        <w:tabs>
          <w:tab w:val="num" w:pos="4830"/>
        </w:tabs>
        <w:ind w:left="4830" w:hanging="360"/>
      </w:pPr>
      <w:rPr>
        <w:rFonts w:ascii="Times New Roman" w:hAnsi="Times New Roman" w:hint="default"/>
      </w:rPr>
    </w:lvl>
    <w:lvl w:ilvl="8" w:tplc="6A6047CC" w:tentative="1">
      <w:start w:val="1"/>
      <w:numFmt w:val="bullet"/>
      <w:lvlText w:val="•"/>
      <w:lvlJc w:val="left"/>
      <w:pPr>
        <w:tabs>
          <w:tab w:val="num" w:pos="5550"/>
        </w:tabs>
        <w:ind w:left="5550" w:hanging="360"/>
      </w:pPr>
      <w:rPr>
        <w:rFonts w:ascii="Times New Roman" w:hAnsi="Times New Roman" w:hint="default"/>
      </w:rPr>
    </w:lvl>
  </w:abstractNum>
  <w:abstractNum w:abstractNumId="5" w15:restartNumberingAfterBreak="0">
    <w:nsid w:val="31C33A63"/>
    <w:multiLevelType w:val="multilevel"/>
    <w:tmpl w:val="2B7EC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A6B5501"/>
    <w:multiLevelType w:val="hybridMultilevel"/>
    <w:tmpl w:val="4154C7B4"/>
    <w:lvl w:ilvl="0" w:tplc="230A922A">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15:restartNumberingAfterBreak="0">
    <w:nsid w:val="3BC542CB"/>
    <w:multiLevelType w:val="hybridMultilevel"/>
    <w:tmpl w:val="368867EE"/>
    <w:lvl w:ilvl="0" w:tplc="AC2A52F8">
      <w:start w:val="1"/>
      <w:numFmt w:val="bullet"/>
      <w:lvlText w:val="•"/>
      <w:lvlJc w:val="left"/>
      <w:pPr>
        <w:tabs>
          <w:tab w:val="num" w:pos="720"/>
        </w:tabs>
        <w:ind w:left="720" w:hanging="360"/>
      </w:pPr>
      <w:rPr>
        <w:rFonts w:ascii="Times New Roman" w:hAnsi="Times New Roman" w:hint="default"/>
      </w:rPr>
    </w:lvl>
    <w:lvl w:ilvl="1" w:tplc="5A840214" w:tentative="1">
      <w:start w:val="1"/>
      <w:numFmt w:val="bullet"/>
      <w:lvlText w:val="•"/>
      <w:lvlJc w:val="left"/>
      <w:pPr>
        <w:tabs>
          <w:tab w:val="num" w:pos="1440"/>
        </w:tabs>
        <w:ind w:left="1440" w:hanging="360"/>
      </w:pPr>
      <w:rPr>
        <w:rFonts w:ascii="Times New Roman" w:hAnsi="Times New Roman" w:hint="default"/>
      </w:rPr>
    </w:lvl>
    <w:lvl w:ilvl="2" w:tplc="F7ECE414" w:tentative="1">
      <w:start w:val="1"/>
      <w:numFmt w:val="bullet"/>
      <w:lvlText w:val="•"/>
      <w:lvlJc w:val="left"/>
      <w:pPr>
        <w:tabs>
          <w:tab w:val="num" w:pos="2160"/>
        </w:tabs>
        <w:ind w:left="2160" w:hanging="360"/>
      </w:pPr>
      <w:rPr>
        <w:rFonts w:ascii="Times New Roman" w:hAnsi="Times New Roman" w:hint="default"/>
      </w:rPr>
    </w:lvl>
    <w:lvl w:ilvl="3" w:tplc="8926DA90" w:tentative="1">
      <w:start w:val="1"/>
      <w:numFmt w:val="bullet"/>
      <w:lvlText w:val="•"/>
      <w:lvlJc w:val="left"/>
      <w:pPr>
        <w:tabs>
          <w:tab w:val="num" w:pos="2880"/>
        </w:tabs>
        <w:ind w:left="2880" w:hanging="360"/>
      </w:pPr>
      <w:rPr>
        <w:rFonts w:ascii="Times New Roman" w:hAnsi="Times New Roman" w:hint="default"/>
      </w:rPr>
    </w:lvl>
    <w:lvl w:ilvl="4" w:tplc="45CE4BEE" w:tentative="1">
      <w:start w:val="1"/>
      <w:numFmt w:val="bullet"/>
      <w:lvlText w:val="•"/>
      <w:lvlJc w:val="left"/>
      <w:pPr>
        <w:tabs>
          <w:tab w:val="num" w:pos="3600"/>
        </w:tabs>
        <w:ind w:left="3600" w:hanging="360"/>
      </w:pPr>
      <w:rPr>
        <w:rFonts w:ascii="Times New Roman" w:hAnsi="Times New Roman" w:hint="default"/>
      </w:rPr>
    </w:lvl>
    <w:lvl w:ilvl="5" w:tplc="5022AB8C" w:tentative="1">
      <w:start w:val="1"/>
      <w:numFmt w:val="bullet"/>
      <w:lvlText w:val="•"/>
      <w:lvlJc w:val="left"/>
      <w:pPr>
        <w:tabs>
          <w:tab w:val="num" w:pos="4320"/>
        </w:tabs>
        <w:ind w:left="4320" w:hanging="360"/>
      </w:pPr>
      <w:rPr>
        <w:rFonts w:ascii="Times New Roman" w:hAnsi="Times New Roman" w:hint="default"/>
      </w:rPr>
    </w:lvl>
    <w:lvl w:ilvl="6" w:tplc="9BF48B3C" w:tentative="1">
      <w:start w:val="1"/>
      <w:numFmt w:val="bullet"/>
      <w:lvlText w:val="•"/>
      <w:lvlJc w:val="left"/>
      <w:pPr>
        <w:tabs>
          <w:tab w:val="num" w:pos="5040"/>
        </w:tabs>
        <w:ind w:left="5040" w:hanging="360"/>
      </w:pPr>
      <w:rPr>
        <w:rFonts w:ascii="Times New Roman" w:hAnsi="Times New Roman" w:hint="default"/>
      </w:rPr>
    </w:lvl>
    <w:lvl w:ilvl="7" w:tplc="E0060A86" w:tentative="1">
      <w:start w:val="1"/>
      <w:numFmt w:val="bullet"/>
      <w:lvlText w:val="•"/>
      <w:lvlJc w:val="left"/>
      <w:pPr>
        <w:tabs>
          <w:tab w:val="num" w:pos="5760"/>
        </w:tabs>
        <w:ind w:left="5760" w:hanging="360"/>
      </w:pPr>
      <w:rPr>
        <w:rFonts w:ascii="Times New Roman" w:hAnsi="Times New Roman" w:hint="default"/>
      </w:rPr>
    </w:lvl>
    <w:lvl w:ilvl="8" w:tplc="FB489612"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4355617C"/>
    <w:multiLevelType w:val="hybridMultilevel"/>
    <w:tmpl w:val="1E82A082"/>
    <w:lvl w:ilvl="0" w:tplc="43D4854A">
      <w:start w:val="1"/>
      <w:numFmt w:val="bullet"/>
      <w:lvlText w:val="•"/>
      <w:lvlJc w:val="left"/>
      <w:pPr>
        <w:ind w:left="720" w:hanging="360"/>
      </w:pPr>
      <w:rPr>
        <w:rFonts w:ascii="Arial" w:hAnsi="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15:restartNumberingAfterBreak="0">
    <w:nsid w:val="47CF08A2"/>
    <w:multiLevelType w:val="hybridMultilevel"/>
    <w:tmpl w:val="E46A3862"/>
    <w:lvl w:ilvl="0" w:tplc="57AE08BE">
      <w:start w:val="1"/>
      <w:numFmt w:val="lowerLetter"/>
      <w:lvlText w:val="(%1)"/>
      <w:lvlJc w:val="left"/>
      <w:pPr>
        <w:ind w:left="221" w:hanging="709"/>
      </w:pPr>
      <w:rPr>
        <w:rFonts w:ascii="Franklin Gothic Book" w:eastAsia="Franklin Gothic Book" w:hAnsi="Franklin Gothic Book" w:cs="Franklin Gothic Book" w:hint="default"/>
        <w:w w:val="99"/>
        <w:sz w:val="22"/>
        <w:szCs w:val="22"/>
        <w:lang w:val="es-ES" w:eastAsia="es-ES" w:bidi="es-ES"/>
      </w:rPr>
    </w:lvl>
    <w:lvl w:ilvl="1" w:tplc="D902C642">
      <w:numFmt w:val="bullet"/>
      <w:lvlText w:val="•"/>
      <w:lvlJc w:val="left"/>
      <w:pPr>
        <w:ind w:left="1130" w:hanging="709"/>
      </w:pPr>
      <w:rPr>
        <w:lang w:val="es-ES" w:eastAsia="es-ES" w:bidi="es-ES"/>
      </w:rPr>
    </w:lvl>
    <w:lvl w:ilvl="2" w:tplc="7FC2D346">
      <w:numFmt w:val="bullet"/>
      <w:lvlText w:val="•"/>
      <w:lvlJc w:val="left"/>
      <w:pPr>
        <w:ind w:left="2040" w:hanging="709"/>
      </w:pPr>
      <w:rPr>
        <w:lang w:val="es-ES" w:eastAsia="es-ES" w:bidi="es-ES"/>
      </w:rPr>
    </w:lvl>
    <w:lvl w:ilvl="3" w:tplc="BB067916">
      <w:numFmt w:val="bullet"/>
      <w:lvlText w:val="•"/>
      <w:lvlJc w:val="left"/>
      <w:pPr>
        <w:ind w:left="2951" w:hanging="709"/>
      </w:pPr>
      <w:rPr>
        <w:lang w:val="es-ES" w:eastAsia="es-ES" w:bidi="es-ES"/>
      </w:rPr>
    </w:lvl>
    <w:lvl w:ilvl="4" w:tplc="A70057B2">
      <w:numFmt w:val="bullet"/>
      <w:lvlText w:val="•"/>
      <w:lvlJc w:val="left"/>
      <w:pPr>
        <w:ind w:left="3861" w:hanging="709"/>
      </w:pPr>
      <w:rPr>
        <w:lang w:val="es-ES" w:eastAsia="es-ES" w:bidi="es-ES"/>
      </w:rPr>
    </w:lvl>
    <w:lvl w:ilvl="5" w:tplc="D5584652">
      <w:numFmt w:val="bullet"/>
      <w:lvlText w:val="•"/>
      <w:lvlJc w:val="left"/>
      <w:pPr>
        <w:ind w:left="4772" w:hanging="709"/>
      </w:pPr>
      <w:rPr>
        <w:lang w:val="es-ES" w:eastAsia="es-ES" w:bidi="es-ES"/>
      </w:rPr>
    </w:lvl>
    <w:lvl w:ilvl="6" w:tplc="41B8B996">
      <w:numFmt w:val="bullet"/>
      <w:lvlText w:val="•"/>
      <w:lvlJc w:val="left"/>
      <w:pPr>
        <w:ind w:left="5682" w:hanging="709"/>
      </w:pPr>
      <w:rPr>
        <w:lang w:val="es-ES" w:eastAsia="es-ES" w:bidi="es-ES"/>
      </w:rPr>
    </w:lvl>
    <w:lvl w:ilvl="7" w:tplc="4970CF6C">
      <w:numFmt w:val="bullet"/>
      <w:lvlText w:val="•"/>
      <w:lvlJc w:val="left"/>
      <w:pPr>
        <w:ind w:left="6593" w:hanging="709"/>
      </w:pPr>
      <w:rPr>
        <w:lang w:val="es-ES" w:eastAsia="es-ES" w:bidi="es-ES"/>
      </w:rPr>
    </w:lvl>
    <w:lvl w:ilvl="8" w:tplc="E08AB786">
      <w:numFmt w:val="bullet"/>
      <w:lvlText w:val="•"/>
      <w:lvlJc w:val="left"/>
      <w:pPr>
        <w:ind w:left="7503" w:hanging="709"/>
      </w:pPr>
      <w:rPr>
        <w:lang w:val="es-ES" w:eastAsia="es-ES" w:bidi="es-ES"/>
      </w:rPr>
    </w:lvl>
  </w:abstractNum>
  <w:abstractNum w:abstractNumId="10" w15:restartNumberingAfterBreak="0">
    <w:nsid w:val="507B3F79"/>
    <w:multiLevelType w:val="hybridMultilevel"/>
    <w:tmpl w:val="640C90A8"/>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517961BE"/>
    <w:multiLevelType w:val="hybridMultilevel"/>
    <w:tmpl w:val="95C05712"/>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584469C5"/>
    <w:multiLevelType w:val="hybridMultilevel"/>
    <w:tmpl w:val="2070D3C8"/>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15:restartNumberingAfterBreak="0">
    <w:nsid w:val="5CC94434"/>
    <w:multiLevelType w:val="hybridMultilevel"/>
    <w:tmpl w:val="F14EBD00"/>
    <w:lvl w:ilvl="0" w:tplc="2C0A000F">
      <w:start w:val="1"/>
      <w:numFmt w:val="decimal"/>
      <w:lvlText w:val="%1."/>
      <w:lvlJc w:val="left"/>
      <w:pPr>
        <w:ind w:left="1699" w:hanging="360"/>
      </w:pPr>
      <w:rPr>
        <w:rFonts w:hint="default"/>
      </w:rPr>
    </w:lvl>
    <w:lvl w:ilvl="1" w:tplc="2C0A0019" w:tentative="1">
      <w:start w:val="1"/>
      <w:numFmt w:val="lowerLetter"/>
      <w:lvlText w:val="%2."/>
      <w:lvlJc w:val="left"/>
      <w:pPr>
        <w:ind w:left="2419" w:hanging="360"/>
      </w:pPr>
    </w:lvl>
    <w:lvl w:ilvl="2" w:tplc="2C0A001B" w:tentative="1">
      <w:start w:val="1"/>
      <w:numFmt w:val="lowerRoman"/>
      <w:lvlText w:val="%3."/>
      <w:lvlJc w:val="right"/>
      <w:pPr>
        <w:ind w:left="3139" w:hanging="180"/>
      </w:pPr>
    </w:lvl>
    <w:lvl w:ilvl="3" w:tplc="2C0A000F" w:tentative="1">
      <w:start w:val="1"/>
      <w:numFmt w:val="decimal"/>
      <w:lvlText w:val="%4."/>
      <w:lvlJc w:val="left"/>
      <w:pPr>
        <w:ind w:left="3859" w:hanging="360"/>
      </w:pPr>
    </w:lvl>
    <w:lvl w:ilvl="4" w:tplc="2C0A0019" w:tentative="1">
      <w:start w:val="1"/>
      <w:numFmt w:val="lowerLetter"/>
      <w:lvlText w:val="%5."/>
      <w:lvlJc w:val="left"/>
      <w:pPr>
        <w:ind w:left="4579" w:hanging="360"/>
      </w:pPr>
    </w:lvl>
    <w:lvl w:ilvl="5" w:tplc="2C0A001B" w:tentative="1">
      <w:start w:val="1"/>
      <w:numFmt w:val="lowerRoman"/>
      <w:lvlText w:val="%6."/>
      <w:lvlJc w:val="right"/>
      <w:pPr>
        <w:ind w:left="5299" w:hanging="180"/>
      </w:pPr>
    </w:lvl>
    <w:lvl w:ilvl="6" w:tplc="2C0A000F" w:tentative="1">
      <w:start w:val="1"/>
      <w:numFmt w:val="decimal"/>
      <w:lvlText w:val="%7."/>
      <w:lvlJc w:val="left"/>
      <w:pPr>
        <w:ind w:left="6019" w:hanging="360"/>
      </w:pPr>
    </w:lvl>
    <w:lvl w:ilvl="7" w:tplc="2C0A0019" w:tentative="1">
      <w:start w:val="1"/>
      <w:numFmt w:val="lowerLetter"/>
      <w:lvlText w:val="%8."/>
      <w:lvlJc w:val="left"/>
      <w:pPr>
        <w:ind w:left="6739" w:hanging="360"/>
      </w:pPr>
    </w:lvl>
    <w:lvl w:ilvl="8" w:tplc="2C0A001B" w:tentative="1">
      <w:start w:val="1"/>
      <w:numFmt w:val="lowerRoman"/>
      <w:lvlText w:val="%9."/>
      <w:lvlJc w:val="right"/>
      <w:pPr>
        <w:ind w:left="7459" w:hanging="180"/>
      </w:pPr>
    </w:lvl>
  </w:abstractNum>
  <w:abstractNum w:abstractNumId="14" w15:restartNumberingAfterBreak="0">
    <w:nsid w:val="5DD61484"/>
    <w:multiLevelType w:val="hybridMultilevel"/>
    <w:tmpl w:val="5238C11A"/>
    <w:lvl w:ilvl="0" w:tplc="11ECD646">
      <w:start w:val="1"/>
      <w:numFmt w:val="bullet"/>
      <w:lvlText w:val="•"/>
      <w:lvlJc w:val="left"/>
      <w:pPr>
        <w:tabs>
          <w:tab w:val="num" w:pos="1699"/>
        </w:tabs>
        <w:ind w:left="1699" w:hanging="360"/>
      </w:pPr>
      <w:rPr>
        <w:rFonts w:ascii="Times New Roman" w:hAnsi="Times New Roman" w:hint="default"/>
      </w:rPr>
    </w:lvl>
    <w:lvl w:ilvl="1" w:tplc="BFEC7AA6" w:tentative="1">
      <w:start w:val="1"/>
      <w:numFmt w:val="bullet"/>
      <w:lvlText w:val="•"/>
      <w:lvlJc w:val="left"/>
      <w:pPr>
        <w:tabs>
          <w:tab w:val="num" w:pos="2419"/>
        </w:tabs>
        <w:ind w:left="2419" w:hanging="360"/>
      </w:pPr>
      <w:rPr>
        <w:rFonts w:ascii="Times New Roman" w:hAnsi="Times New Roman" w:hint="default"/>
      </w:rPr>
    </w:lvl>
    <w:lvl w:ilvl="2" w:tplc="9936311E" w:tentative="1">
      <w:start w:val="1"/>
      <w:numFmt w:val="bullet"/>
      <w:lvlText w:val="•"/>
      <w:lvlJc w:val="left"/>
      <w:pPr>
        <w:tabs>
          <w:tab w:val="num" w:pos="3139"/>
        </w:tabs>
        <w:ind w:left="3139" w:hanging="360"/>
      </w:pPr>
      <w:rPr>
        <w:rFonts w:ascii="Times New Roman" w:hAnsi="Times New Roman" w:hint="default"/>
      </w:rPr>
    </w:lvl>
    <w:lvl w:ilvl="3" w:tplc="B6463718" w:tentative="1">
      <w:start w:val="1"/>
      <w:numFmt w:val="bullet"/>
      <w:lvlText w:val="•"/>
      <w:lvlJc w:val="left"/>
      <w:pPr>
        <w:tabs>
          <w:tab w:val="num" w:pos="3859"/>
        </w:tabs>
        <w:ind w:left="3859" w:hanging="360"/>
      </w:pPr>
      <w:rPr>
        <w:rFonts w:ascii="Times New Roman" w:hAnsi="Times New Roman" w:hint="default"/>
      </w:rPr>
    </w:lvl>
    <w:lvl w:ilvl="4" w:tplc="F56CE832" w:tentative="1">
      <w:start w:val="1"/>
      <w:numFmt w:val="bullet"/>
      <w:lvlText w:val="•"/>
      <w:lvlJc w:val="left"/>
      <w:pPr>
        <w:tabs>
          <w:tab w:val="num" w:pos="4579"/>
        </w:tabs>
        <w:ind w:left="4579" w:hanging="360"/>
      </w:pPr>
      <w:rPr>
        <w:rFonts w:ascii="Times New Roman" w:hAnsi="Times New Roman" w:hint="default"/>
      </w:rPr>
    </w:lvl>
    <w:lvl w:ilvl="5" w:tplc="7226AF46" w:tentative="1">
      <w:start w:val="1"/>
      <w:numFmt w:val="bullet"/>
      <w:lvlText w:val="•"/>
      <w:lvlJc w:val="left"/>
      <w:pPr>
        <w:tabs>
          <w:tab w:val="num" w:pos="5299"/>
        </w:tabs>
        <w:ind w:left="5299" w:hanging="360"/>
      </w:pPr>
      <w:rPr>
        <w:rFonts w:ascii="Times New Roman" w:hAnsi="Times New Roman" w:hint="default"/>
      </w:rPr>
    </w:lvl>
    <w:lvl w:ilvl="6" w:tplc="A4140D86" w:tentative="1">
      <w:start w:val="1"/>
      <w:numFmt w:val="bullet"/>
      <w:lvlText w:val="•"/>
      <w:lvlJc w:val="left"/>
      <w:pPr>
        <w:tabs>
          <w:tab w:val="num" w:pos="6019"/>
        </w:tabs>
        <w:ind w:left="6019" w:hanging="360"/>
      </w:pPr>
      <w:rPr>
        <w:rFonts w:ascii="Times New Roman" w:hAnsi="Times New Roman" w:hint="default"/>
      </w:rPr>
    </w:lvl>
    <w:lvl w:ilvl="7" w:tplc="21728AAC" w:tentative="1">
      <w:start w:val="1"/>
      <w:numFmt w:val="bullet"/>
      <w:lvlText w:val="•"/>
      <w:lvlJc w:val="left"/>
      <w:pPr>
        <w:tabs>
          <w:tab w:val="num" w:pos="6739"/>
        </w:tabs>
        <w:ind w:left="6739" w:hanging="360"/>
      </w:pPr>
      <w:rPr>
        <w:rFonts w:ascii="Times New Roman" w:hAnsi="Times New Roman" w:hint="default"/>
      </w:rPr>
    </w:lvl>
    <w:lvl w:ilvl="8" w:tplc="50182D20" w:tentative="1">
      <w:start w:val="1"/>
      <w:numFmt w:val="bullet"/>
      <w:lvlText w:val="•"/>
      <w:lvlJc w:val="left"/>
      <w:pPr>
        <w:tabs>
          <w:tab w:val="num" w:pos="7459"/>
        </w:tabs>
        <w:ind w:left="7459" w:hanging="360"/>
      </w:pPr>
      <w:rPr>
        <w:rFonts w:ascii="Times New Roman" w:hAnsi="Times New Roman" w:hint="default"/>
      </w:rPr>
    </w:lvl>
  </w:abstractNum>
  <w:abstractNum w:abstractNumId="15" w15:restartNumberingAfterBreak="0">
    <w:nsid w:val="6676006B"/>
    <w:multiLevelType w:val="hybridMultilevel"/>
    <w:tmpl w:val="20361A7E"/>
    <w:lvl w:ilvl="0" w:tplc="65E68106">
      <w:numFmt w:val="bullet"/>
      <w:lvlText w:val="-"/>
      <w:lvlJc w:val="left"/>
      <w:pPr>
        <w:ind w:left="720" w:hanging="360"/>
      </w:pPr>
      <w:rPr>
        <w:rFonts w:ascii="Calibri" w:eastAsiaTheme="minorHAnsi" w:hAnsi="Calibri" w:cs="Calibri"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668B2F54"/>
    <w:multiLevelType w:val="hybridMultilevel"/>
    <w:tmpl w:val="B67659F2"/>
    <w:lvl w:ilvl="0" w:tplc="29A61D66">
      <w:start w:val="1"/>
      <w:numFmt w:val="bullet"/>
      <w:lvlText w:val="•"/>
      <w:lvlJc w:val="left"/>
      <w:pPr>
        <w:tabs>
          <w:tab w:val="num" w:pos="720"/>
        </w:tabs>
        <w:ind w:left="720" w:hanging="360"/>
      </w:pPr>
      <w:rPr>
        <w:rFonts w:ascii="Arial" w:hAnsi="Arial" w:hint="default"/>
      </w:rPr>
    </w:lvl>
    <w:lvl w:ilvl="1" w:tplc="5ABC66D4" w:tentative="1">
      <w:start w:val="1"/>
      <w:numFmt w:val="bullet"/>
      <w:lvlText w:val="•"/>
      <w:lvlJc w:val="left"/>
      <w:pPr>
        <w:tabs>
          <w:tab w:val="num" w:pos="1440"/>
        </w:tabs>
        <w:ind w:left="1440" w:hanging="360"/>
      </w:pPr>
      <w:rPr>
        <w:rFonts w:ascii="Arial" w:hAnsi="Arial" w:hint="default"/>
      </w:rPr>
    </w:lvl>
    <w:lvl w:ilvl="2" w:tplc="6816B390" w:tentative="1">
      <w:start w:val="1"/>
      <w:numFmt w:val="bullet"/>
      <w:lvlText w:val="•"/>
      <w:lvlJc w:val="left"/>
      <w:pPr>
        <w:tabs>
          <w:tab w:val="num" w:pos="2160"/>
        </w:tabs>
        <w:ind w:left="2160" w:hanging="360"/>
      </w:pPr>
      <w:rPr>
        <w:rFonts w:ascii="Arial" w:hAnsi="Arial" w:hint="default"/>
      </w:rPr>
    </w:lvl>
    <w:lvl w:ilvl="3" w:tplc="214A70AA" w:tentative="1">
      <w:start w:val="1"/>
      <w:numFmt w:val="bullet"/>
      <w:lvlText w:val="•"/>
      <w:lvlJc w:val="left"/>
      <w:pPr>
        <w:tabs>
          <w:tab w:val="num" w:pos="2880"/>
        </w:tabs>
        <w:ind w:left="2880" w:hanging="360"/>
      </w:pPr>
      <w:rPr>
        <w:rFonts w:ascii="Arial" w:hAnsi="Arial" w:hint="default"/>
      </w:rPr>
    </w:lvl>
    <w:lvl w:ilvl="4" w:tplc="A62C690E" w:tentative="1">
      <w:start w:val="1"/>
      <w:numFmt w:val="bullet"/>
      <w:lvlText w:val="•"/>
      <w:lvlJc w:val="left"/>
      <w:pPr>
        <w:tabs>
          <w:tab w:val="num" w:pos="3600"/>
        </w:tabs>
        <w:ind w:left="3600" w:hanging="360"/>
      </w:pPr>
      <w:rPr>
        <w:rFonts w:ascii="Arial" w:hAnsi="Arial" w:hint="default"/>
      </w:rPr>
    </w:lvl>
    <w:lvl w:ilvl="5" w:tplc="94AC33C0" w:tentative="1">
      <w:start w:val="1"/>
      <w:numFmt w:val="bullet"/>
      <w:lvlText w:val="•"/>
      <w:lvlJc w:val="left"/>
      <w:pPr>
        <w:tabs>
          <w:tab w:val="num" w:pos="4320"/>
        </w:tabs>
        <w:ind w:left="4320" w:hanging="360"/>
      </w:pPr>
      <w:rPr>
        <w:rFonts w:ascii="Arial" w:hAnsi="Arial" w:hint="default"/>
      </w:rPr>
    </w:lvl>
    <w:lvl w:ilvl="6" w:tplc="AF9EEFFE" w:tentative="1">
      <w:start w:val="1"/>
      <w:numFmt w:val="bullet"/>
      <w:lvlText w:val="•"/>
      <w:lvlJc w:val="left"/>
      <w:pPr>
        <w:tabs>
          <w:tab w:val="num" w:pos="5040"/>
        </w:tabs>
        <w:ind w:left="5040" w:hanging="360"/>
      </w:pPr>
      <w:rPr>
        <w:rFonts w:ascii="Arial" w:hAnsi="Arial" w:hint="default"/>
      </w:rPr>
    </w:lvl>
    <w:lvl w:ilvl="7" w:tplc="AD2CF0B8" w:tentative="1">
      <w:start w:val="1"/>
      <w:numFmt w:val="bullet"/>
      <w:lvlText w:val="•"/>
      <w:lvlJc w:val="left"/>
      <w:pPr>
        <w:tabs>
          <w:tab w:val="num" w:pos="5760"/>
        </w:tabs>
        <w:ind w:left="5760" w:hanging="360"/>
      </w:pPr>
      <w:rPr>
        <w:rFonts w:ascii="Arial" w:hAnsi="Arial" w:hint="default"/>
      </w:rPr>
    </w:lvl>
    <w:lvl w:ilvl="8" w:tplc="5EC40D1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BD923A2"/>
    <w:multiLevelType w:val="hybridMultilevel"/>
    <w:tmpl w:val="49C6A6AE"/>
    <w:lvl w:ilvl="0" w:tplc="10527C86">
      <w:start w:val="1"/>
      <w:numFmt w:val="bullet"/>
      <w:lvlText w:val="•"/>
      <w:lvlJc w:val="left"/>
      <w:pPr>
        <w:tabs>
          <w:tab w:val="num" w:pos="720"/>
        </w:tabs>
        <w:ind w:left="720" w:hanging="360"/>
      </w:pPr>
      <w:rPr>
        <w:rFonts w:ascii="Times New Roman" w:hAnsi="Times New Roman" w:hint="default"/>
      </w:rPr>
    </w:lvl>
    <w:lvl w:ilvl="1" w:tplc="B05411F0" w:tentative="1">
      <w:start w:val="1"/>
      <w:numFmt w:val="bullet"/>
      <w:lvlText w:val="•"/>
      <w:lvlJc w:val="left"/>
      <w:pPr>
        <w:tabs>
          <w:tab w:val="num" w:pos="1440"/>
        </w:tabs>
        <w:ind w:left="1440" w:hanging="360"/>
      </w:pPr>
      <w:rPr>
        <w:rFonts w:ascii="Times New Roman" w:hAnsi="Times New Roman" w:hint="default"/>
      </w:rPr>
    </w:lvl>
    <w:lvl w:ilvl="2" w:tplc="872E6990" w:tentative="1">
      <w:start w:val="1"/>
      <w:numFmt w:val="bullet"/>
      <w:lvlText w:val="•"/>
      <w:lvlJc w:val="left"/>
      <w:pPr>
        <w:tabs>
          <w:tab w:val="num" w:pos="2160"/>
        </w:tabs>
        <w:ind w:left="2160" w:hanging="360"/>
      </w:pPr>
      <w:rPr>
        <w:rFonts w:ascii="Times New Roman" w:hAnsi="Times New Roman" w:hint="default"/>
      </w:rPr>
    </w:lvl>
    <w:lvl w:ilvl="3" w:tplc="1748825A" w:tentative="1">
      <w:start w:val="1"/>
      <w:numFmt w:val="bullet"/>
      <w:lvlText w:val="•"/>
      <w:lvlJc w:val="left"/>
      <w:pPr>
        <w:tabs>
          <w:tab w:val="num" w:pos="2880"/>
        </w:tabs>
        <w:ind w:left="2880" w:hanging="360"/>
      </w:pPr>
      <w:rPr>
        <w:rFonts w:ascii="Times New Roman" w:hAnsi="Times New Roman" w:hint="default"/>
      </w:rPr>
    </w:lvl>
    <w:lvl w:ilvl="4" w:tplc="24BE043C" w:tentative="1">
      <w:start w:val="1"/>
      <w:numFmt w:val="bullet"/>
      <w:lvlText w:val="•"/>
      <w:lvlJc w:val="left"/>
      <w:pPr>
        <w:tabs>
          <w:tab w:val="num" w:pos="3600"/>
        </w:tabs>
        <w:ind w:left="3600" w:hanging="360"/>
      </w:pPr>
      <w:rPr>
        <w:rFonts w:ascii="Times New Roman" w:hAnsi="Times New Roman" w:hint="default"/>
      </w:rPr>
    </w:lvl>
    <w:lvl w:ilvl="5" w:tplc="E4F047D8" w:tentative="1">
      <w:start w:val="1"/>
      <w:numFmt w:val="bullet"/>
      <w:lvlText w:val="•"/>
      <w:lvlJc w:val="left"/>
      <w:pPr>
        <w:tabs>
          <w:tab w:val="num" w:pos="4320"/>
        </w:tabs>
        <w:ind w:left="4320" w:hanging="360"/>
      </w:pPr>
      <w:rPr>
        <w:rFonts w:ascii="Times New Roman" w:hAnsi="Times New Roman" w:hint="default"/>
      </w:rPr>
    </w:lvl>
    <w:lvl w:ilvl="6" w:tplc="B1FA5A9E" w:tentative="1">
      <w:start w:val="1"/>
      <w:numFmt w:val="bullet"/>
      <w:lvlText w:val="•"/>
      <w:lvlJc w:val="left"/>
      <w:pPr>
        <w:tabs>
          <w:tab w:val="num" w:pos="5040"/>
        </w:tabs>
        <w:ind w:left="5040" w:hanging="360"/>
      </w:pPr>
      <w:rPr>
        <w:rFonts w:ascii="Times New Roman" w:hAnsi="Times New Roman" w:hint="default"/>
      </w:rPr>
    </w:lvl>
    <w:lvl w:ilvl="7" w:tplc="ECE0DA06" w:tentative="1">
      <w:start w:val="1"/>
      <w:numFmt w:val="bullet"/>
      <w:lvlText w:val="•"/>
      <w:lvlJc w:val="left"/>
      <w:pPr>
        <w:tabs>
          <w:tab w:val="num" w:pos="5760"/>
        </w:tabs>
        <w:ind w:left="5760" w:hanging="360"/>
      </w:pPr>
      <w:rPr>
        <w:rFonts w:ascii="Times New Roman" w:hAnsi="Times New Roman" w:hint="default"/>
      </w:rPr>
    </w:lvl>
    <w:lvl w:ilvl="8" w:tplc="B8787E86"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6F612EF9"/>
    <w:multiLevelType w:val="hybridMultilevel"/>
    <w:tmpl w:val="64B61EBA"/>
    <w:lvl w:ilvl="0" w:tplc="43D4854A">
      <w:start w:val="1"/>
      <w:numFmt w:val="bullet"/>
      <w:lvlText w:val="•"/>
      <w:lvlJc w:val="left"/>
      <w:pPr>
        <w:tabs>
          <w:tab w:val="num" w:pos="720"/>
        </w:tabs>
        <w:ind w:left="720" w:hanging="360"/>
      </w:pPr>
      <w:rPr>
        <w:rFonts w:ascii="Arial" w:hAnsi="Arial" w:hint="default"/>
      </w:rPr>
    </w:lvl>
    <w:lvl w:ilvl="1" w:tplc="FEE2D03E">
      <w:start w:val="1"/>
      <w:numFmt w:val="bullet"/>
      <w:lvlText w:val="•"/>
      <w:lvlJc w:val="left"/>
      <w:pPr>
        <w:tabs>
          <w:tab w:val="num" w:pos="1440"/>
        </w:tabs>
        <w:ind w:left="1440" w:hanging="360"/>
      </w:pPr>
      <w:rPr>
        <w:rFonts w:ascii="Arial" w:hAnsi="Arial" w:hint="default"/>
      </w:rPr>
    </w:lvl>
    <w:lvl w:ilvl="2" w:tplc="588C7A10">
      <w:start w:val="1"/>
      <w:numFmt w:val="bullet"/>
      <w:lvlText w:val="•"/>
      <w:lvlJc w:val="left"/>
      <w:pPr>
        <w:tabs>
          <w:tab w:val="num" w:pos="2160"/>
        </w:tabs>
        <w:ind w:left="2160" w:hanging="360"/>
      </w:pPr>
      <w:rPr>
        <w:rFonts w:ascii="Arial" w:hAnsi="Arial" w:hint="default"/>
      </w:rPr>
    </w:lvl>
    <w:lvl w:ilvl="3" w:tplc="4FC46D12" w:tentative="1">
      <w:start w:val="1"/>
      <w:numFmt w:val="bullet"/>
      <w:lvlText w:val="•"/>
      <w:lvlJc w:val="left"/>
      <w:pPr>
        <w:tabs>
          <w:tab w:val="num" w:pos="2880"/>
        </w:tabs>
        <w:ind w:left="2880" w:hanging="360"/>
      </w:pPr>
      <w:rPr>
        <w:rFonts w:ascii="Arial" w:hAnsi="Arial" w:hint="default"/>
      </w:rPr>
    </w:lvl>
    <w:lvl w:ilvl="4" w:tplc="A3BCCE16" w:tentative="1">
      <w:start w:val="1"/>
      <w:numFmt w:val="bullet"/>
      <w:lvlText w:val="•"/>
      <w:lvlJc w:val="left"/>
      <w:pPr>
        <w:tabs>
          <w:tab w:val="num" w:pos="3600"/>
        </w:tabs>
        <w:ind w:left="3600" w:hanging="360"/>
      </w:pPr>
      <w:rPr>
        <w:rFonts w:ascii="Arial" w:hAnsi="Arial" w:hint="default"/>
      </w:rPr>
    </w:lvl>
    <w:lvl w:ilvl="5" w:tplc="D9460C70" w:tentative="1">
      <w:start w:val="1"/>
      <w:numFmt w:val="bullet"/>
      <w:lvlText w:val="•"/>
      <w:lvlJc w:val="left"/>
      <w:pPr>
        <w:tabs>
          <w:tab w:val="num" w:pos="4320"/>
        </w:tabs>
        <w:ind w:left="4320" w:hanging="360"/>
      </w:pPr>
      <w:rPr>
        <w:rFonts w:ascii="Arial" w:hAnsi="Arial" w:hint="default"/>
      </w:rPr>
    </w:lvl>
    <w:lvl w:ilvl="6" w:tplc="85FA3C2A" w:tentative="1">
      <w:start w:val="1"/>
      <w:numFmt w:val="bullet"/>
      <w:lvlText w:val="•"/>
      <w:lvlJc w:val="left"/>
      <w:pPr>
        <w:tabs>
          <w:tab w:val="num" w:pos="5040"/>
        </w:tabs>
        <w:ind w:left="5040" w:hanging="360"/>
      </w:pPr>
      <w:rPr>
        <w:rFonts w:ascii="Arial" w:hAnsi="Arial" w:hint="default"/>
      </w:rPr>
    </w:lvl>
    <w:lvl w:ilvl="7" w:tplc="9336E77C" w:tentative="1">
      <w:start w:val="1"/>
      <w:numFmt w:val="bullet"/>
      <w:lvlText w:val="•"/>
      <w:lvlJc w:val="left"/>
      <w:pPr>
        <w:tabs>
          <w:tab w:val="num" w:pos="5760"/>
        </w:tabs>
        <w:ind w:left="5760" w:hanging="360"/>
      </w:pPr>
      <w:rPr>
        <w:rFonts w:ascii="Arial" w:hAnsi="Arial" w:hint="default"/>
      </w:rPr>
    </w:lvl>
    <w:lvl w:ilvl="8" w:tplc="0A48CE9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E527109"/>
    <w:multiLevelType w:val="hybridMultilevel"/>
    <w:tmpl w:val="4F5CD8FC"/>
    <w:lvl w:ilvl="0" w:tplc="F5E4C6A8">
      <w:start w:val="1"/>
      <w:numFmt w:val="lowerRoman"/>
      <w:lvlText w:val="(%1)"/>
      <w:lvlJc w:val="left"/>
      <w:pPr>
        <w:ind w:left="1301" w:hanging="720"/>
      </w:pPr>
      <w:rPr>
        <w:rFonts w:ascii="Franklin Gothic Book" w:eastAsia="Franklin Gothic Book" w:hAnsi="Franklin Gothic Book" w:cs="Franklin Gothic Book" w:hint="default"/>
        <w:w w:val="99"/>
        <w:sz w:val="22"/>
        <w:szCs w:val="22"/>
        <w:lang w:val="es-ES" w:eastAsia="es-ES" w:bidi="es-ES"/>
      </w:rPr>
    </w:lvl>
    <w:lvl w:ilvl="1" w:tplc="8E70060E">
      <w:numFmt w:val="bullet"/>
      <w:lvlText w:val="•"/>
      <w:lvlJc w:val="left"/>
      <w:pPr>
        <w:ind w:left="2102" w:hanging="720"/>
      </w:pPr>
      <w:rPr>
        <w:lang w:val="es-ES" w:eastAsia="es-ES" w:bidi="es-ES"/>
      </w:rPr>
    </w:lvl>
    <w:lvl w:ilvl="2" w:tplc="8AF6A48A">
      <w:numFmt w:val="bullet"/>
      <w:lvlText w:val="•"/>
      <w:lvlJc w:val="left"/>
      <w:pPr>
        <w:ind w:left="2904" w:hanging="720"/>
      </w:pPr>
      <w:rPr>
        <w:lang w:val="es-ES" w:eastAsia="es-ES" w:bidi="es-ES"/>
      </w:rPr>
    </w:lvl>
    <w:lvl w:ilvl="3" w:tplc="BFEC42C2">
      <w:numFmt w:val="bullet"/>
      <w:lvlText w:val="•"/>
      <w:lvlJc w:val="left"/>
      <w:pPr>
        <w:ind w:left="3707" w:hanging="720"/>
      </w:pPr>
      <w:rPr>
        <w:lang w:val="es-ES" w:eastAsia="es-ES" w:bidi="es-ES"/>
      </w:rPr>
    </w:lvl>
    <w:lvl w:ilvl="4" w:tplc="595A5E54">
      <w:numFmt w:val="bullet"/>
      <w:lvlText w:val="•"/>
      <w:lvlJc w:val="left"/>
      <w:pPr>
        <w:ind w:left="4509" w:hanging="720"/>
      </w:pPr>
      <w:rPr>
        <w:lang w:val="es-ES" w:eastAsia="es-ES" w:bidi="es-ES"/>
      </w:rPr>
    </w:lvl>
    <w:lvl w:ilvl="5" w:tplc="53A6A196">
      <w:numFmt w:val="bullet"/>
      <w:lvlText w:val="•"/>
      <w:lvlJc w:val="left"/>
      <w:pPr>
        <w:ind w:left="5312" w:hanging="720"/>
      </w:pPr>
      <w:rPr>
        <w:lang w:val="es-ES" w:eastAsia="es-ES" w:bidi="es-ES"/>
      </w:rPr>
    </w:lvl>
    <w:lvl w:ilvl="6" w:tplc="83B2C58E">
      <w:numFmt w:val="bullet"/>
      <w:lvlText w:val="•"/>
      <w:lvlJc w:val="left"/>
      <w:pPr>
        <w:ind w:left="6114" w:hanging="720"/>
      </w:pPr>
      <w:rPr>
        <w:lang w:val="es-ES" w:eastAsia="es-ES" w:bidi="es-ES"/>
      </w:rPr>
    </w:lvl>
    <w:lvl w:ilvl="7" w:tplc="62306966">
      <w:numFmt w:val="bullet"/>
      <w:lvlText w:val="•"/>
      <w:lvlJc w:val="left"/>
      <w:pPr>
        <w:ind w:left="6917" w:hanging="720"/>
      </w:pPr>
      <w:rPr>
        <w:lang w:val="es-ES" w:eastAsia="es-ES" w:bidi="es-ES"/>
      </w:rPr>
    </w:lvl>
    <w:lvl w:ilvl="8" w:tplc="EE109D6A">
      <w:numFmt w:val="bullet"/>
      <w:lvlText w:val="•"/>
      <w:lvlJc w:val="left"/>
      <w:pPr>
        <w:ind w:left="7719" w:hanging="720"/>
      </w:pPr>
      <w:rPr>
        <w:lang w:val="es-ES" w:eastAsia="es-ES" w:bidi="es-ES"/>
      </w:rPr>
    </w:lvl>
  </w:abstractNum>
  <w:num w:numId="1">
    <w:abstractNumId w:val="15"/>
  </w:num>
  <w:num w:numId="2">
    <w:abstractNumId w:val="2"/>
  </w:num>
  <w:num w:numId="3">
    <w:abstractNumId w:val="13"/>
  </w:num>
  <w:num w:numId="4">
    <w:abstractNumId w:val="4"/>
  </w:num>
  <w:num w:numId="5">
    <w:abstractNumId w:val="14"/>
  </w:num>
  <w:num w:numId="6">
    <w:abstractNumId w:val="17"/>
  </w:num>
  <w:num w:numId="7">
    <w:abstractNumId w:val="7"/>
  </w:num>
  <w:num w:numId="8">
    <w:abstractNumId w:val="18"/>
  </w:num>
  <w:num w:numId="9">
    <w:abstractNumId w:val="1"/>
  </w:num>
  <w:num w:numId="10">
    <w:abstractNumId w:val="5"/>
  </w:num>
  <w:num w:numId="11">
    <w:abstractNumId w:val="11"/>
  </w:num>
  <w:num w:numId="12">
    <w:abstractNumId w:val="10"/>
  </w:num>
  <w:num w:numId="13">
    <w:abstractNumId w:val="12"/>
  </w:num>
  <w:num w:numId="14">
    <w:abstractNumId w:val="16"/>
  </w:num>
  <w:num w:numId="15">
    <w:abstractNumId w:val="0"/>
  </w:num>
  <w:num w:numId="16">
    <w:abstractNumId w:val="3"/>
  </w:num>
  <w:num w:numId="17">
    <w:abstractNumId w:val="9"/>
    <w:lvlOverride w:ilvl="0">
      <w:startOverride w:val="1"/>
    </w:lvlOverride>
    <w:lvlOverride w:ilvl="1"/>
    <w:lvlOverride w:ilvl="2"/>
    <w:lvlOverride w:ilvl="3"/>
    <w:lvlOverride w:ilvl="4"/>
    <w:lvlOverride w:ilvl="5"/>
    <w:lvlOverride w:ilvl="6"/>
    <w:lvlOverride w:ilvl="7"/>
    <w:lvlOverride w:ilvl="8"/>
  </w:num>
  <w:num w:numId="18">
    <w:abstractNumId w:val="19"/>
    <w:lvlOverride w:ilvl="0">
      <w:startOverride w:val="1"/>
    </w:lvlOverride>
    <w:lvlOverride w:ilvl="1"/>
    <w:lvlOverride w:ilvl="2"/>
    <w:lvlOverride w:ilvl="3"/>
    <w:lvlOverride w:ilvl="4"/>
    <w:lvlOverride w:ilvl="5"/>
    <w:lvlOverride w:ilvl="6"/>
    <w:lvlOverride w:ilvl="7"/>
    <w:lvlOverride w:ilvl="8"/>
  </w:num>
  <w:num w:numId="19">
    <w:abstractNumId w:val="8"/>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0EBE"/>
    <w:rsid w:val="00016642"/>
    <w:rsid w:val="0002156C"/>
    <w:rsid w:val="000371B1"/>
    <w:rsid w:val="00047E4B"/>
    <w:rsid w:val="000642EA"/>
    <w:rsid w:val="000643FF"/>
    <w:rsid w:val="00070049"/>
    <w:rsid w:val="00083999"/>
    <w:rsid w:val="00087DB2"/>
    <w:rsid w:val="00090EBE"/>
    <w:rsid w:val="00094E12"/>
    <w:rsid w:val="000A4308"/>
    <w:rsid w:val="000D19F5"/>
    <w:rsid w:val="000F72E0"/>
    <w:rsid w:val="00105365"/>
    <w:rsid w:val="00105B31"/>
    <w:rsid w:val="001076D4"/>
    <w:rsid w:val="001563F5"/>
    <w:rsid w:val="00176B58"/>
    <w:rsid w:val="001844F0"/>
    <w:rsid w:val="0019687D"/>
    <w:rsid w:val="001D244D"/>
    <w:rsid w:val="001E1FDC"/>
    <w:rsid w:val="001F00D8"/>
    <w:rsid w:val="001F2455"/>
    <w:rsid w:val="001F5875"/>
    <w:rsid w:val="0021036B"/>
    <w:rsid w:val="00257EE6"/>
    <w:rsid w:val="0029335C"/>
    <w:rsid w:val="0029582A"/>
    <w:rsid w:val="002A7418"/>
    <w:rsid w:val="002C2A99"/>
    <w:rsid w:val="002D3AA0"/>
    <w:rsid w:val="003038E9"/>
    <w:rsid w:val="00316A8D"/>
    <w:rsid w:val="00331B30"/>
    <w:rsid w:val="003507A2"/>
    <w:rsid w:val="0035098A"/>
    <w:rsid w:val="003622DD"/>
    <w:rsid w:val="003668EF"/>
    <w:rsid w:val="00387404"/>
    <w:rsid w:val="003A3F52"/>
    <w:rsid w:val="003C7646"/>
    <w:rsid w:val="00412A93"/>
    <w:rsid w:val="00426735"/>
    <w:rsid w:val="00431E47"/>
    <w:rsid w:val="0043318A"/>
    <w:rsid w:val="004414C0"/>
    <w:rsid w:val="004473FF"/>
    <w:rsid w:val="00451999"/>
    <w:rsid w:val="0045568A"/>
    <w:rsid w:val="00495322"/>
    <w:rsid w:val="00497859"/>
    <w:rsid w:val="004A04BD"/>
    <w:rsid w:val="004A71E5"/>
    <w:rsid w:val="004B4909"/>
    <w:rsid w:val="004C3E9C"/>
    <w:rsid w:val="004D7EB4"/>
    <w:rsid w:val="0056494F"/>
    <w:rsid w:val="005A078B"/>
    <w:rsid w:val="005B5968"/>
    <w:rsid w:val="005B7F1B"/>
    <w:rsid w:val="005D4665"/>
    <w:rsid w:val="005E18FD"/>
    <w:rsid w:val="005F305B"/>
    <w:rsid w:val="005F4968"/>
    <w:rsid w:val="006113FD"/>
    <w:rsid w:val="00635648"/>
    <w:rsid w:val="00642465"/>
    <w:rsid w:val="00675973"/>
    <w:rsid w:val="00682360"/>
    <w:rsid w:val="00684BC1"/>
    <w:rsid w:val="0069420F"/>
    <w:rsid w:val="006A591F"/>
    <w:rsid w:val="006A7B9E"/>
    <w:rsid w:val="006C1038"/>
    <w:rsid w:val="006D150C"/>
    <w:rsid w:val="006D5432"/>
    <w:rsid w:val="00735416"/>
    <w:rsid w:val="00743CB4"/>
    <w:rsid w:val="00771DC7"/>
    <w:rsid w:val="00787784"/>
    <w:rsid w:val="00793A4D"/>
    <w:rsid w:val="007A76D2"/>
    <w:rsid w:val="00806DAE"/>
    <w:rsid w:val="0081321D"/>
    <w:rsid w:val="00813821"/>
    <w:rsid w:val="008160CE"/>
    <w:rsid w:val="0083078E"/>
    <w:rsid w:val="0083589F"/>
    <w:rsid w:val="0085560B"/>
    <w:rsid w:val="00871D8B"/>
    <w:rsid w:val="008B668A"/>
    <w:rsid w:val="008C35B5"/>
    <w:rsid w:val="00904272"/>
    <w:rsid w:val="00922BE4"/>
    <w:rsid w:val="00924BCC"/>
    <w:rsid w:val="009451FB"/>
    <w:rsid w:val="0094574B"/>
    <w:rsid w:val="009545FD"/>
    <w:rsid w:val="00965B5B"/>
    <w:rsid w:val="00983352"/>
    <w:rsid w:val="00987DDE"/>
    <w:rsid w:val="009D2BC5"/>
    <w:rsid w:val="009D4A5F"/>
    <w:rsid w:val="009F4213"/>
    <w:rsid w:val="009F5F14"/>
    <w:rsid w:val="00A16A16"/>
    <w:rsid w:val="00A33954"/>
    <w:rsid w:val="00A36A0D"/>
    <w:rsid w:val="00A37656"/>
    <w:rsid w:val="00A40131"/>
    <w:rsid w:val="00A45AF2"/>
    <w:rsid w:val="00A56134"/>
    <w:rsid w:val="00A71204"/>
    <w:rsid w:val="00A774D1"/>
    <w:rsid w:val="00A87D51"/>
    <w:rsid w:val="00AA0932"/>
    <w:rsid w:val="00AB0B92"/>
    <w:rsid w:val="00AC6D7E"/>
    <w:rsid w:val="00AD5D0F"/>
    <w:rsid w:val="00AF7E8B"/>
    <w:rsid w:val="00B02E0F"/>
    <w:rsid w:val="00B107CA"/>
    <w:rsid w:val="00B21B60"/>
    <w:rsid w:val="00B40601"/>
    <w:rsid w:val="00B6379A"/>
    <w:rsid w:val="00B81CAC"/>
    <w:rsid w:val="00BB7975"/>
    <w:rsid w:val="00BD1A63"/>
    <w:rsid w:val="00BD756E"/>
    <w:rsid w:val="00BE7710"/>
    <w:rsid w:val="00BF2EBC"/>
    <w:rsid w:val="00C00661"/>
    <w:rsid w:val="00C34A37"/>
    <w:rsid w:val="00C37A0A"/>
    <w:rsid w:val="00C67E40"/>
    <w:rsid w:val="00C81D9E"/>
    <w:rsid w:val="00C86E34"/>
    <w:rsid w:val="00CC2EF8"/>
    <w:rsid w:val="00CD02A8"/>
    <w:rsid w:val="00CD5A06"/>
    <w:rsid w:val="00CE2BF1"/>
    <w:rsid w:val="00D066D5"/>
    <w:rsid w:val="00D15891"/>
    <w:rsid w:val="00D23DF6"/>
    <w:rsid w:val="00D360B4"/>
    <w:rsid w:val="00D42679"/>
    <w:rsid w:val="00D42E4E"/>
    <w:rsid w:val="00D4780B"/>
    <w:rsid w:val="00D80DD5"/>
    <w:rsid w:val="00DA16B6"/>
    <w:rsid w:val="00DC34F9"/>
    <w:rsid w:val="00DC6B58"/>
    <w:rsid w:val="00DE4DBE"/>
    <w:rsid w:val="00E03120"/>
    <w:rsid w:val="00E277D8"/>
    <w:rsid w:val="00E50F36"/>
    <w:rsid w:val="00E517CB"/>
    <w:rsid w:val="00E550B5"/>
    <w:rsid w:val="00E606D4"/>
    <w:rsid w:val="00E820D2"/>
    <w:rsid w:val="00E9070F"/>
    <w:rsid w:val="00EB1F45"/>
    <w:rsid w:val="00EC6C29"/>
    <w:rsid w:val="00ED7231"/>
    <w:rsid w:val="00EE31A6"/>
    <w:rsid w:val="00F02213"/>
    <w:rsid w:val="00F14132"/>
    <w:rsid w:val="00F44B23"/>
    <w:rsid w:val="00F46FD2"/>
    <w:rsid w:val="00F57C5F"/>
    <w:rsid w:val="00F63D9E"/>
    <w:rsid w:val="00F66521"/>
    <w:rsid w:val="00F833B5"/>
    <w:rsid w:val="00F971C4"/>
    <w:rsid w:val="00FE49F6"/>
    <w:rsid w:val="00FF36F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BB07"/>
  <w15:chartTrackingRefBased/>
  <w15:docId w15:val="{339C2452-278C-4F43-A321-2DFA0FACF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A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D4A5F"/>
    <w:pPr>
      <w:ind w:left="720"/>
      <w:contextualSpacing/>
    </w:pPr>
  </w:style>
  <w:style w:type="paragraph" w:styleId="NormalWeb">
    <w:name w:val="Normal (Web)"/>
    <w:basedOn w:val="Normal"/>
    <w:uiPriority w:val="99"/>
    <w:semiHidden/>
    <w:unhideWhenUsed/>
    <w:rsid w:val="0069420F"/>
    <w:pPr>
      <w:spacing w:before="100" w:beforeAutospacing="1" w:after="100" w:afterAutospacing="1" w:line="240" w:lineRule="auto"/>
    </w:pPr>
    <w:rPr>
      <w:rFonts w:ascii="Times New Roman" w:eastAsia="Times New Roman" w:hAnsi="Times New Roman" w:cs="Times New Roman"/>
      <w:sz w:val="24"/>
      <w:szCs w:val="24"/>
      <w:lang w:eastAsia="es-AR"/>
    </w:rPr>
  </w:style>
  <w:style w:type="character" w:styleId="Hipervnculo">
    <w:name w:val="Hyperlink"/>
    <w:basedOn w:val="Fuentedeprrafopredeter"/>
    <w:uiPriority w:val="99"/>
    <w:unhideWhenUsed/>
    <w:rsid w:val="00AB0B92"/>
    <w:rPr>
      <w:color w:val="0563C1" w:themeColor="hyperlink"/>
      <w:u w:val="single"/>
    </w:rPr>
  </w:style>
  <w:style w:type="character" w:customStyle="1" w:styleId="UnresolvedMention">
    <w:name w:val="Unresolved Mention"/>
    <w:basedOn w:val="Fuentedeprrafopredeter"/>
    <w:uiPriority w:val="99"/>
    <w:semiHidden/>
    <w:unhideWhenUsed/>
    <w:rsid w:val="00AB0B92"/>
    <w:rPr>
      <w:color w:val="605E5C"/>
      <w:shd w:val="clear" w:color="auto" w:fill="E1DFDD"/>
    </w:rPr>
  </w:style>
  <w:style w:type="character" w:styleId="Textoennegrita">
    <w:name w:val="Strong"/>
    <w:basedOn w:val="Fuentedeprrafopredeter"/>
    <w:uiPriority w:val="22"/>
    <w:qFormat/>
    <w:rsid w:val="00A37656"/>
    <w:rPr>
      <w:b/>
      <w:bCs/>
    </w:rPr>
  </w:style>
  <w:style w:type="paragraph" w:styleId="Textoindependiente">
    <w:name w:val="Body Text"/>
    <w:basedOn w:val="Normal"/>
    <w:link w:val="TextoindependienteCar"/>
    <w:uiPriority w:val="1"/>
    <w:semiHidden/>
    <w:unhideWhenUsed/>
    <w:qFormat/>
    <w:rsid w:val="00B107CA"/>
    <w:pPr>
      <w:widowControl w:val="0"/>
      <w:autoSpaceDE w:val="0"/>
      <w:autoSpaceDN w:val="0"/>
      <w:spacing w:after="0" w:line="240" w:lineRule="auto"/>
      <w:jc w:val="both"/>
    </w:pPr>
    <w:rPr>
      <w:rFonts w:ascii="Franklin Gothic Book" w:eastAsia="Franklin Gothic Book" w:hAnsi="Franklin Gothic Book" w:cs="Franklin Gothic Book"/>
      <w:lang w:val="es-ES" w:eastAsia="es-ES" w:bidi="es-ES"/>
    </w:rPr>
  </w:style>
  <w:style w:type="character" w:customStyle="1" w:styleId="TextoindependienteCar">
    <w:name w:val="Texto independiente Car"/>
    <w:basedOn w:val="Fuentedeprrafopredeter"/>
    <w:link w:val="Textoindependiente"/>
    <w:uiPriority w:val="1"/>
    <w:semiHidden/>
    <w:rsid w:val="00B107CA"/>
    <w:rPr>
      <w:rFonts w:ascii="Franklin Gothic Book" w:eastAsia="Franklin Gothic Book" w:hAnsi="Franklin Gothic Book" w:cs="Franklin Gothic Book"/>
      <w:lang w:val="es-ES" w:eastAsia="es-ES" w:bidi="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649767">
      <w:bodyDiv w:val="1"/>
      <w:marLeft w:val="0"/>
      <w:marRight w:val="0"/>
      <w:marTop w:val="0"/>
      <w:marBottom w:val="0"/>
      <w:divBdr>
        <w:top w:val="none" w:sz="0" w:space="0" w:color="auto"/>
        <w:left w:val="none" w:sz="0" w:space="0" w:color="auto"/>
        <w:bottom w:val="none" w:sz="0" w:space="0" w:color="auto"/>
        <w:right w:val="none" w:sz="0" w:space="0" w:color="auto"/>
      </w:divBdr>
    </w:div>
    <w:div w:id="192110989">
      <w:bodyDiv w:val="1"/>
      <w:marLeft w:val="0"/>
      <w:marRight w:val="0"/>
      <w:marTop w:val="0"/>
      <w:marBottom w:val="0"/>
      <w:divBdr>
        <w:top w:val="none" w:sz="0" w:space="0" w:color="auto"/>
        <w:left w:val="none" w:sz="0" w:space="0" w:color="auto"/>
        <w:bottom w:val="none" w:sz="0" w:space="0" w:color="auto"/>
        <w:right w:val="none" w:sz="0" w:space="0" w:color="auto"/>
      </w:divBdr>
    </w:div>
    <w:div w:id="204607132">
      <w:bodyDiv w:val="1"/>
      <w:marLeft w:val="0"/>
      <w:marRight w:val="0"/>
      <w:marTop w:val="0"/>
      <w:marBottom w:val="0"/>
      <w:divBdr>
        <w:top w:val="none" w:sz="0" w:space="0" w:color="auto"/>
        <w:left w:val="none" w:sz="0" w:space="0" w:color="auto"/>
        <w:bottom w:val="none" w:sz="0" w:space="0" w:color="auto"/>
        <w:right w:val="none" w:sz="0" w:space="0" w:color="auto"/>
      </w:divBdr>
    </w:div>
    <w:div w:id="258024750">
      <w:bodyDiv w:val="1"/>
      <w:marLeft w:val="0"/>
      <w:marRight w:val="0"/>
      <w:marTop w:val="0"/>
      <w:marBottom w:val="0"/>
      <w:divBdr>
        <w:top w:val="none" w:sz="0" w:space="0" w:color="auto"/>
        <w:left w:val="none" w:sz="0" w:space="0" w:color="auto"/>
        <w:bottom w:val="none" w:sz="0" w:space="0" w:color="auto"/>
        <w:right w:val="none" w:sz="0" w:space="0" w:color="auto"/>
      </w:divBdr>
    </w:div>
    <w:div w:id="311102492">
      <w:bodyDiv w:val="1"/>
      <w:marLeft w:val="0"/>
      <w:marRight w:val="0"/>
      <w:marTop w:val="0"/>
      <w:marBottom w:val="0"/>
      <w:divBdr>
        <w:top w:val="none" w:sz="0" w:space="0" w:color="auto"/>
        <w:left w:val="none" w:sz="0" w:space="0" w:color="auto"/>
        <w:bottom w:val="none" w:sz="0" w:space="0" w:color="auto"/>
        <w:right w:val="none" w:sz="0" w:space="0" w:color="auto"/>
      </w:divBdr>
      <w:divsChild>
        <w:div w:id="1572160615">
          <w:marLeft w:val="0"/>
          <w:marRight w:val="0"/>
          <w:marTop w:val="0"/>
          <w:marBottom w:val="0"/>
          <w:divBdr>
            <w:top w:val="none" w:sz="0" w:space="0" w:color="auto"/>
            <w:left w:val="none" w:sz="0" w:space="0" w:color="auto"/>
            <w:bottom w:val="none" w:sz="0" w:space="0" w:color="auto"/>
            <w:right w:val="none" w:sz="0" w:space="0" w:color="auto"/>
          </w:divBdr>
          <w:divsChild>
            <w:div w:id="740718913">
              <w:marLeft w:val="0"/>
              <w:marRight w:val="0"/>
              <w:marTop w:val="0"/>
              <w:marBottom w:val="0"/>
              <w:divBdr>
                <w:top w:val="none" w:sz="0" w:space="0" w:color="auto"/>
                <w:left w:val="none" w:sz="0" w:space="0" w:color="auto"/>
                <w:bottom w:val="none" w:sz="0" w:space="0" w:color="auto"/>
                <w:right w:val="none" w:sz="0" w:space="0" w:color="auto"/>
              </w:divBdr>
            </w:div>
          </w:divsChild>
        </w:div>
        <w:div w:id="47001140">
          <w:marLeft w:val="0"/>
          <w:marRight w:val="0"/>
          <w:marTop w:val="0"/>
          <w:marBottom w:val="0"/>
          <w:divBdr>
            <w:top w:val="none" w:sz="0" w:space="0" w:color="auto"/>
            <w:left w:val="none" w:sz="0" w:space="0" w:color="auto"/>
            <w:bottom w:val="none" w:sz="0" w:space="0" w:color="auto"/>
            <w:right w:val="none" w:sz="0" w:space="0" w:color="auto"/>
          </w:divBdr>
          <w:divsChild>
            <w:div w:id="1076365727">
              <w:marLeft w:val="0"/>
              <w:marRight w:val="0"/>
              <w:marTop w:val="0"/>
              <w:marBottom w:val="0"/>
              <w:divBdr>
                <w:top w:val="none" w:sz="0" w:space="0" w:color="auto"/>
                <w:left w:val="none" w:sz="0" w:space="0" w:color="auto"/>
                <w:bottom w:val="none" w:sz="0" w:space="0" w:color="auto"/>
                <w:right w:val="none" w:sz="0" w:space="0" w:color="auto"/>
              </w:divBdr>
            </w:div>
            <w:div w:id="1166283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760206">
      <w:bodyDiv w:val="1"/>
      <w:marLeft w:val="0"/>
      <w:marRight w:val="0"/>
      <w:marTop w:val="0"/>
      <w:marBottom w:val="0"/>
      <w:divBdr>
        <w:top w:val="none" w:sz="0" w:space="0" w:color="auto"/>
        <w:left w:val="none" w:sz="0" w:space="0" w:color="auto"/>
        <w:bottom w:val="none" w:sz="0" w:space="0" w:color="auto"/>
        <w:right w:val="none" w:sz="0" w:space="0" w:color="auto"/>
      </w:divBdr>
      <w:divsChild>
        <w:div w:id="684752207">
          <w:marLeft w:val="979"/>
          <w:marRight w:val="0"/>
          <w:marTop w:val="840"/>
          <w:marBottom w:val="0"/>
          <w:divBdr>
            <w:top w:val="none" w:sz="0" w:space="0" w:color="auto"/>
            <w:left w:val="none" w:sz="0" w:space="0" w:color="auto"/>
            <w:bottom w:val="none" w:sz="0" w:space="0" w:color="auto"/>
            <w:right w:val="none" w:sz="0" w:space="0" w:color="auto"/>
          </w:divBdr>
        </w:div>
        <w:div w:id="165413007">
          <w:marLeft w:val="979"/>
          <w:marRight w:val="0"/>
          <w:marTop w:val="840"/>
          <w:marBottom w:val="0"/>
          <w:divBdr>
            <w:top w:val="none" w:sz="0" w:space="0" w:color="auto"/>
            <w:left w:val="none" w:sz="0" w:space="0" w:color="auto"/>
            <w:bottom w:val="none" w:sz="0" w:space="0" w:color="auto"/>
            <w:right w:val="none" w:sz="0" w:space="0" w:color="auto"/>
          </w:divBdr>
        </w:div>
        <w:div w:id="1396853109">
          <w:marLeft w:val="979"/>
          <w:marRight w:val="0"/>
          <w:marTop w:val="840"/>
          <w:marBottom w:val="0"/>
          <w:divBdr>
            <w:top w:val="none" w:sz="0" w:space="0" w:color="auto"/>
            <w:left w:val="none" w:sz="0" w:space="0" w:color="auto"/>
            <w:bottom w:val="none" w:sz="0" w:space="0" w:color="auto"/>
            <w:right w:val="none" w:sz="0" w:space="0" w:color="auto"/>
          </w:divBdr>
        </w:div>
        <w:div w:id="1408334397">
          <w:marLeft w:val="979"/>
          <w:marRight w:val="0"/>
          <w:marTop w:val="840"/>
          <w:marBottom w:val="0"/>
          <w:divBdr>
            <w:top w:val="none" w:sz="0" w:space="0" w:color="auto"/>
            <w:left w:val="none" w:sz="0" w:space="0" w:color="auto"/>
            <w:bottom w:val="none" w:sz="0" w:space="0" w:color="auto"/>
            <w:right w:val="none" w:sz="0" w:space="0" w:color="auto"/>
          </w:divBdr>
        </w:div>
        <w:div w:id="1286154701">
          <w:marLeft w:val="979"/>
          <w:marRight w:val="0"/>
          <w:marTop w:val="840"/>
          <w:marBottom w:val="0"/>
          <w:divBdr>
            <w:top w:val="none" w:sz="0" w:space="0" w:color="auto"/>
            <w:left w:val="none" w:sz="0" w:space="0" w:color="auto"/>
            <w:bottom w:val="none" w:sz="0" w:space="0" w:color="auto"/>
            <w:right w:val="none" w:sz="0" w:space="0" w:color="auto"/>
          </w:divBdr>
        </w:div>
      </w:divsChild>
    </w:div>
    <w:div w:id="806554222">
      <w:bodyDiv w:val="1"/>
      <w:marLeft w:val="0"/>
      <w:marRight w:val="0"/>
      <w:marTop w:val="0"/>
      <w:marBottom w:val="0"/>
      <w:divBdr>
        <w:top w:val="none" w:sz="0" w:space="0" w:color="auto"/>
        <w:left w:val="none" w:sz="0" w:space="0" w:color="auto"/>
        <w:bottom w:val="none" w:sz="0" w:space="0" w:color="auto"/>
        <w:right w:val="none" w:sz="0" w:space="0" w:color="auto"/>
      </w:divBdr>
    </w:div>
    <w:div w:id="810248629">
      <w:bodyDiv w:val="1"/>
      <w:marLeft w:val="0"/>
      <w:marRight w:val="0"/>
      <w:marTop w:val="0"/>
      <w:marBottom w:val="0"/>
      <w:divBdr>
        <w:top w:val="none" w:sz="0" w:space="0" w:color="auto"/>
        <w:left w:val="none" w:sz="0" w:space="0" w:color="auto"/>
        <w:bottom w:val="none" w:sz="0" w:space="0" w:color="auto"/>
        <w:right w:val="none" w:sz="0" w:space="0" w:color="auto"/>
      </w:divBdr>
    </w:div>
    <w:div w:id="994919969">
      <w:bodyDiv w:val="1"/>
      <w:marLeft w:val="0"/>
      <w:marRight w:val="0"/>
      <w:marTop w:val="0"/>
      <w:marBottom w:val="0"/>
      <w:divBdr>
        <w:top w:val="none" w:sz="0" w:space="0" w:color="auto"/>
        <w:left w:val="none" w:sz="0" w:space="0" w:color="auto"/>
        <w:bottom w:val="none" w:sz="0" w:space="0" w:color="auto"/>
        <w:right w:val="none" w:sz="0" w:space="0" w:color="auto"/>
      </w:divBdr>
    </w:div>
    <w:div w:id="1034042034">
      <w:bodyDiv w:val="1"/>
      <w:marLeft w:val="0"/>
      <w:marRight w:val="0"/>
      <w:marTop w:val="0"/>
      <w:marBottom w:val="0"/>
      <w:divBdr>
        <w:top w:val="none" w:sz="0" w:space="0" w:color="auto"/>
        <w:left w:val="none" w:sz="0" w:space="0" w:color="auto"/>
        <w:bottom w:val="none" w:sz="0" w:space="0" w:color="auto"/>
        <w:right w:val="none" w:sz="0" w:space="0" w:color="auto"/>
      </w:divBdr>
      <w:divsChild>
        <w:div w:id="1829054318">
          <w:marLeft w:val="979"/>
          <w:marRight w:val="0"/>
          <w:marTop w:val="840"/>
          <w:marBottom w:val="0"/>
          <w:divBdr>
            <w:top w:val="none" w:sz="0" w:space="0" w:color="auto"/>
            <w:left w:val="none" w:sz="0" w:space="0" w:color="auto"/>
            <w:bottom w:val="none" w:sz="0" w:space="0" w:color="auto"/>
            <w:right w:val="none" w:sz="0" w:space="0" w:color="auto"/>
          </w:divBdr>
        </w:div>
        <w:div w:id="1844588472">
          <w:marLeft w:val="979"/>
          <w:marRight w:val="0"/>
          <w:marTop w:val="840"/>
          <w:marBottom w:val="0"/>
          <w:divBdr>
            <w:top w:val="none" w:sz="0" w:space="0" w:color="auto"/>
            <w:left w:val="none" w:sz="0" w:space="0" w:color="auto"/>
            <w:bottom w:val="none" w:sz="0" w:space="0" w:color="auto"/>
            <w:right w:val="none" w:sz="0" w:space="0" w:color="auto"/>
          </w:divBdr>
        </w:div>
        <w:div w:id="1101222377">
          <w:marLeft w:val="979"/>
          <w:marRight w:val="0"/>
          <w:marTop w:val="840"/>
          <w:marBottom w:val="0"/>
          <w:divBdr>
            <w:top w:val="none" w:sz="0" w:space="0" w:color="auto"/>
            <w:left w:val="none" w:sz="0" w:space="0" w:color="auto"/>
            <w:bottom w:val="none" w:sz="0" w:space="0" w:color="auto"/>
            <w:right w:val="none" w:sz="0" w:space="0" w:color="auto"/>
          </w:divBdr>
        </w:div>
        <w:div w:id="1668289972">
          <w:marLeft w:val="979"/>
          <w:marRight w:val="0"/>
          <w:marTop w:val="840"/>
          <w:marBottom w:val="0"/>
          <w:divBdr>
            <w:top w:val="none" w:sz="0" w:space="0" w:color="auto"/>
            <w:left w:val="none" w:sz="0" w:space="0" w:color="auto"/>
            <w:bottom w:val="none" w:sz="0" w:space="0" w:color="auto"/>
            <w:right w:val="none" w:sz="0" w:space="0" w:color="auto"/>
          </w:divBdr>
        </w:div>
        <w:div w:id="764889056">
          <w:marLeft w:val="979"/>
          <w:marRight w:val="0"/>
          <w:marTop w:val="840"/>
          <w:marBottom w:val="0"/>
          <w:divBdr>
            <w:top w:val="none" w:sz="0" w:space="0" w:color="auto"/>
            <w:left w:val="none" w:sz="0" w:space="0" w:color="auto"/>
            <w:bottom w:val="none" w:sz="0" w:space="0" w:color="auto"/>
            <w:right w:val="none" w:sz="0" w:space="0" w:color="auto"/>
          </w:divBdr>
        </w:div>
        <w:div w:id="803817409">
          <w:marLeft w:val="979"/>
          <w:marRight w:val="0"/>
          <w:marTop w:val="840"/>
          <w:marBottom w:val="0"/>
          <w:divBdr>
            <w:top w:val="none" w:sz="0" w:space="0" w:color="auto"/>
            <w:left w:val="none" w:sz="0" w:space="0" w:color="auto"/>
            <w:bottom w:val="none" w:sz="0" w:space="0" w:color="auto"/>
            <w:right w:val="none" w:sz="0" w:space="0" w:color="auto"/>
          </w:divBdr>
        </w:div>
        <w:div w:id="708337387">
          <w:marLeft w:val="979"/>
          <w:marRight w:val="0"/>
          <w:marTop w:val="840"/>
          <w:marBottom w:val="0"/>
          <w:divBdr>
            <w:top w:val="none" w:sz="0" w:space="0" w:color="auto"/>
            <w:left w:val="none" w:sz="0" w:space="0" w:color="auto"/>
            <w:bottom w:val="none" w:sz="0" w:space="0" w:color="auto"/>
            <w:right w:val="none" w:sz="0" w:space="0" w:color="auto"/>
          </w:divBdr>
        </w:div>
        <w:div w:id="598949133">
          <w:marLeft w:val="979"/>
          <w:marRight w:val="0"/>
          <w:marTop w:val="840"/>
          <w:marBottom w:val="0"/>
          <w:divBdr>
            <w:top w:val="none" w:sz="0" w:space="0" w:color="auto"/>
            <w:left w:val="none" w:sz="0" w:space="0" w:color="auto"/>
            <w:bottom w:val="none" w:sz="0" w:space="0" w:color="auto"/>
            <w:right w:val="none" w:sz="0" w:space="0" w:color="auto"/>
          </w:divBdr>
        </w:div>
      </w:divsChild>
    </w:div>
    <w:div w:id="1094208969">
      <w:bodyDiv w:val="1"/>
      <w:marLeft w:val="0"/>
      <w:marRight w:val="0"/>
      <w:marTop w:val="0"/>
      <w:marBottom w:val="0"/>
      <w:divBdr>
        <w:top w:val="none" w:sz="0" w:space="0" w:color="auto"/>
        <w:left w:val="none" w:sz="0" w:space="0" w:color="auto"/>
        <w:bottom w:val="none" w:sz="0" w:space="0" w:color="auto"/>
        <w:right w:val="none" w:sz="0" w:space="0" w:color="auto"/>
      </w:divBdr>
    </w:div>
    <w:div w:id="1365135773">
      <w:bodyDiv w:val="1"/>
      <w:marLeft w:val="0"/>
      <w:marRight w:val="0"/>
      <w:marTop w:val="0"/>
      <w:marBottom w:val="0"/>
      <w:divBdr>
        <w:top w:val="none" w:sz="0" w:space="0" w:color="auto"/>
        <w:left w:val="none" w:sz="0" w:space="0" w:color="auto"/>
        <w:bottom w:val="none" w:sz="0" w:space="0" w:color="auto"/>
        <w:right w:val="none" w:sz="0" w:space="0" w:color="auto"/>
      </w:divBdr>
    </w:div>
    <w:div w:id="1716928443">
      <w:bodyDiv w:val="1"/>
      <w:marLeft w:val="0"/>
      <w:marRight w:val="0"/>
      <w:marTop w:val="0"/>
      <w:marBottom w:val="0"/>
      <w:divBdr>
        <w:top w:val="none" w:sz="0" w:space="0" w:color="auto"/>
        <w:left w:val="none" w:sz="0" w:space="0" w:color="auto"/>
        <w:bottom w:val="none" w:sz="0" w:space="0" w:color="auto"/>
        <w:right w:val="none" w:sz="0" w:space="0" w:color="auto"/>
      </w:divBdr>
      <w:divsChild>
        <w:div w:id="1075859908">
          <w:marLeft w:val="979"/>
          <w:marRight w:val="0"/>
          <w:marTop w:val="840"/>
          <w:marBottom w:val="0"/>
          <w:divBdr>
            <w:top w:val="none" w:sz="0" w:space="0" w:color="auto"/>
            <w:left w:val="none" w:sz="0" w:space="0" w:color="auto"/>
            <w:bottom w:val="none" w:sz="0" w:space="0" w:color="auto"/>
            <w:right w:val="none" w:sz="0" w:space="0" w:color="auto"/>
          </w:divBdr>
        </w:div>
        <w:div w:id="162816362">
          <w:marLeft w:val="979"/>
          <w:marRight w:val="0"/>
          <w:marTop w:val="840"/>
          <w:marBottom w:val="0"/>
          <w:divBdr>
            <w:top w:val="none" w:sz="0" w:space="0" w:color="auto"/>
            <w:left w:val="none" w:sz="0" w:space="0" w:color="auto"/>
            <w:bottom w:val="none" w:sz="0" w:space="0" w:color="auto"/>
            <w:right w:val="none" w:sz="0" w:space="0" w:color="auto"/>
          </w:divBdr>
        </w:div>
        <w:div w:id="729814318">
          <w:marLeft w:val="979"/>
          <w:marRight w:val="0"/>
          <w:marTop w:val="840"/>
          <w:marBottom w:val="0"/>
          <w:divBdr>
            <w:top w:val="none" w:sz="0" w:space="0" w:color="auto"/>
            <w:left w:val="none" w:sz="0" w:space="0" w:color="auto"/>
            <w:bottom w:val="none" w:sz="0" w:space="0" w:color="auto"/>
            <w:right w:val="none" w:sz="0" w:space="0" w:color="auto"/>
          </w:divBdr>
        </w:div>
        <w:div w:id="1852838454">
          <w:marLeft w:val="979"/>
          <w:marRight w:val="0"/>
          <w:marTop w:val="840"/>
          <w:marBottom w:val="0"/>
          <w:divBdr>
            <w:top w:val="none" w:sz="0" w:space="0" w:color="auto"/>
            <w:left w:val="none" w:sz="0" w:space="0" w:color="auto"/>
            <w:bottom w:val="none" w:sz="0" w:space="0" w:color="auto"/>
            <w:right w:val="none" w:sz="0" w:space="0" w:color="auto"/>
          </w:divBdr>
        </w:div>
        <w:div w:id="723529214">
          <w:marLeft w:val="979"/>
          <w:marRight w:val="0"/>
          <w:marTop w:val="840"/>
          <w:marBottom w:val="0"/>
          <w:divBdr>
            <w:top w:val="none" w:sz="0" w:space="0" w:color="auto"/>
            <w:left w:val="none" w:sz="0" w:space="0" w:color="auto"/>
            <w:bottom w:val="none" w:sz="0" w:space="0" w:color="auto"/>
            <w:right w:val="none" w:sz="0" w:space="0" w:color="auto"/>
          </w:divBdr>
        </w:div>
        <w:div w:id="1638729838">
          <w:marLeft w:val="979"/>
          <w:marRight w:val="0"/>
          <w:marTop w:val="840"/>
          <w:marBottom w:val="0"/>
          <w:divBdr>
            <w:top w:val="none" w:sz="0" w:space="0" w:color="auto"/>
            <w:left w:val="none" w:sz="0" w:space="0" w:color="auto"/>
            <w:bottom w:val="none" w:sz="0" w:space="0" w:color="auto"/>
            <w:right w:val="none" w:sz="0" w:space="0" w:color="auto"/>
          </w:divBdr>
        </w:div>
      </w:divsChild>
    </w:div>
    <w:div w:id="2020306268">
      <w:bodyDiv w:val="1"/>
      <w:marLeft w:val="0"/>
      <w:marRight w:val="0"/>
      <w:marTop w:val="0"/>
      <w:marBottom w:val="0"/>
      <w:divBdr>
        <w:top w:val="none" w:sz="0" w:space="0" w:color="auto"/>
        <w:left w:val="none" w:sz="0" w:space="0" w:color="auto"/>
        <w:bottom w:val="none" w:sz="0" w:space="0" w:color="auto"/>
        <w:right w:val="none" w:sz="0" w:space="0" w:color="auto"/>
      </w:divBdr>
    </w:div>
    <w:div w:id="2139452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image" Target="media/image7.jpg"/><Relationship Id="rId26" Type="http://schemas.openxmlformats.org/officeDocument/2006/relationships/hyperlink" Target="http://trabajo.gob.ar/downloads/igualdad/consenso_de_quito.pdf" TargetMode="External"/><Relationship Id="rId3" Type="http://schemas.openxmlformats.org/officeDocument/2006/relationships/styles" Target="styles.xml"/><Relationship Id="rId21" Type="http://schemas.openxmlformats.org/officeDocument/2006/relationships/hyperlink" Target="http://trabajo.gob.ar/downloads/igualdad/convenio_100.doc" TargetMode="External"/><Relationship Id="rId7" Type="http://schemas.openxmlformats.org/officeDocument/2006/relationships/image" Target="media/image2.png"/><Relationship Id="rId12" Type="http://schemas.openxmlformats.org/officeDocument/2006/relationships/chart" Target="charts/chart5.xml"/><Relationship Id="rId17" Type="http://schemas.openxmlformats.org/officeDocument/2006/relationships/image" Target="media/image6.jpg"/><Relationship Id="rId25" Type="http://schemas.openxmlformats.org/officeDocument/2006/relationships/hyperlink" Target="http://trabajo.gob.ar/downloads/igualdad/convencion_belem_seguimiento.doc" TargetMode="Externa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chart" Target="charts/chart7.xml"/><Relationship Id="rId29" Type="http://schemas.openxmlformats.org/officeDocument/2006/relationships/hyperlink" Target="https://www.argentina.gob.ar/trabajo/seguridadsocial/bess"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chart" Target="charts/chart4.xml"/><Relationship Id="rId24" Type="http://schemas.openxmlformats.org/officeDocument/2006/relationships/hyperlink" Target="http://trabajo.gob.ar/downloads/igualdad/convencion_prevenir.doc"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hyperlink" Target="http://trabajo.gob.ar/downloads/igualdad/convencion_belem.doc" TargetMode="External"/><Relationship Id="rId28" Type="http://schemas.openxmlformats.org/officeDocument/2006/relationships/image" Target="media/image9.jpg"/><Relationship Id="rId10" Type="http://schemas.openxmlformats.org/officeDocument/2006/relationships/chart" Target="charts/chart3.xml"/><Relationship Id="rId19" Type="http://schemas.openxmlformats.org/officeDocument/2006/relationships/hyperlink" Target="https://www.cippec.org/"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3.png"/><Relationship Id="rId22" Type="http://schemas.openxmlformats.org/officeDocument/2006/relationships/hyperlink" Target="http://trabajo.gob.ar/downloads/igualdad/convenio_156.doc" TargetMode="External"/><Relationship Id="rId27" Type="http://schemas.openxmlformats.org/officeDocument/2006/relationships/image" Target="media/image8.png"/><Relationship Id="rId30" Type="http://schemas.openxmlformats.org/officeDocument/2006/relationships/hyperlink" Target="https://www.argentina.gob.ar/trabajo/seguridadsocial/bess"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gmar\Desktop\CONGRESO\EMPODERAMIENTO%20FEMENINO\bess_202006_1-activo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gmar\Desktop\CONGRESO\EMPODERAMIENTO%20FEMENINO\bess_202006_1-activos.xlsx"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Hoja_de_c_lculo_de_Microsoft_Excel2.xlsx"/></Relationships>
</file>

<file path=word/charts/_rels/chart5.xml.rels><?xml version="1.0" encoding="UTF-8" standalone="yes"?>
<Relationships xmlns="http://schemas.openxmlformats.org/package/2006/relationships"><Relationship Id="rId1" Type="http://schemas.openxmlformats.org/officeDocument/2006/relationships/package" Target="../embeddings/Hoja_de_c_lculo_de_Microsoft_Excel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4.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771"/>
          <c:h val="0.51323928258967899"/>
        </c:manualLayout>
      </c:layout>
      <c:barChart>
        <c:barDir val="col"/>
        <c:grouping val="clustered"/>
        <c:varyColors val="0"/>
        <c:ser>
          <c:idx val="2"/>
          <c:order val="2"/>
          <c:tx>
            <c:strRef>
              <c:f>'1.1.3 G4'!$S$15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'1.1.3.a'!$E$31:$N$31</c:f>
              <c:numCache>
                <c:formatCode>_ * #,##0_ ;_ * \-#,##0_ ;_ * "-"??_ ;_ @_ </c:formatCode>
                <c:ptCount val="10"/>
                <c:pt idx="0">
                  <c:v>2213</c:v>
                </c:pt>
                <c:pt idx="1">
                  <c:v>5035</c:v>
                </c:pt>
                <c:pt idx="2">
                  <c:v>6481</c:v>
                </c:pt>
                <c:pt idx="3">
                  <c:v>6550</c:v>
                </c:pt>
                <c:pt idx="4">
                  <c:v>6690</c:v>
                </c:pt>
                <c:pt idx="5">
                  <c:v>5834</c:v>
                </c:pt>
                <c:pt idx="6">
                  <c:v>4880</c:v>
                </c:pt>
                <c:pt idx="7">
                  <c:v>4208</c:v>
                </c:pt>
                <c:pt idx="8">
                  <c:v>3340</c:v>
                </c:pt>
                <c:pt idx="9">
                  <c:v>2503</c:v>
                </c:pt>
              </c:numCache>
            </c:numRef>
          </c:val>
          <c:extLst xmlns:c16r2="http://schemas.microsoft.com/office/drawing/2015/06/chart">
            <c:ext xmlns:c16="http://schemas.microsoft.com/office/drawing/2014/chart" uri="{C3380CC4-5D6E-409C-BE32-E72D297353CC}">
              <c16:uniqueId val="{00000000-2172-46AA-BB31-B50C13572735}"/>
            </c:ext>
          </c:extLst>
        </c:ser>
        <c:ser>
          <c:idx val="3"/>
          <c:order val="3"/>
          <c:tx>
            <c:strRef>
              <c:f>'1.1.3 G4'!$S$16</c:f>
              <c:strCache>
                <c:ptCount val="1"/>
                <c:pt idx="0">
                  <c:v>Aportantes Mujeres</c:v>
                </c:pt>
              </c:strCache>
            </c:strRef>
          </c:tx>
          <c:spPr>
            <a:solidFill>
              <a:srgbClr val="00B0F0"/>
            </a:solidFill>
            <a:ln>
              <a:solidFill>
                <a:schemeClr val="tx1">
                  <a:lumMod val="75000"/>
                  <a:lumOff val="25000"/>
                </a:schemeClr>
              </a:solidFill>
            </a:ln>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'1.1.3.b'!$E$31:$N$31</c:f>
              <c:numCache>
                <c:formatCode>_ * #,##0_ ;_ * \-#,##0_ ;_ * "-"??_ ;_ @_ </c:formatCode>
                <c:ptCount val="10"/>
                <c:pt idx="0">
                  <c:v>5681</c:v>
                </c:pt>
                <c:pt idx="1">
                  <c:v>12054</c:v>
                </c:pt>
                <c:pt idx="2">
                  <c:v>13992</c:v>
                </c:pt>
                <c:pt idx="3">
                  <c:v>13360</c:v>
                </c:pt>
                <c:pt idx="4">
                  <c:v>13637</c:v>
                </c:pt>
                <c:pt idx="5">
                  <c:v>11950</c:v>
                </c:pt>
                <c:pt idx="6">
                  <c:v>9512</c:v>
                </c:pt>
                <c:pt idx="7">
                  <c:v>7896</c:v>
                </c:pt>
                <c:pt idx="8">
                  <c:v>4128</c:v>
                </c:pt>
                <c:pt idx="9">
                  <c:v>2620</c:v>
                </c:pt>
              </c:numCache>
            </c:numRef>
          </c:val>
          <c:extLst xmlns:c16r2="http://schemas.microsoft.com/office/drawing/2015/06/chart">
            <c:ext xmlns:c16="http://schemas.microsoft.com/office/drawing/2014/chart" uri="{C3380CC4-5D6E-409C-BE32-E72D297353CC}">
              <c16:uniqueId val="{00000001-2172-46AA-BB31-B50C13572735}"/>
            </c:ext>
          </c:extLst>
        </c:ser>
        <c:dLbls>
          <c:showLegendKey val="0"/>
          <c:showVal val="0"/>
          <c:showCatName val="0"/>
          <c:showSerName val="0"/>
          <c:showPercent val="0"/>
          <c:showBubbleSize val="0"/>
        </c:dLbls>
        <c:gapWidth val="75"/>
        <c:axId val="298221912"/>
        <c:axId val="298222696"/>
      </c:barChart>
      <c:lineChart>
        <c:grouping val="standard"/>
        <c:varyColors val="0"/>
        <c:ser>
          <c:idx val="0"/>
          <c:order val="0"/>
          <c:tx>
            <c:strRef>
              <c:f>'1.1.3 G4'!$S$17</c:f>
              <c:strCache>
                <c:ptCount val="1"/>
                <c:pt idx="0">
                  <c:v>Sal. Prom. Varones</c:v>
                </c:pt>
              </c:strCache>
            </c:strRef>
          </c:tx>
          <c:spPr>
            <a:ln w="12700" cap="rnd">
              <a:solidFill>
                <a:srgbClr val="0070C0"/>
              </a:solidFill>
              <a:prstDash val="sysDash"/>
              <a:round/>
            </a:ln>
            <a:effectLst/>
          </c:spPr>
          <c:marker>
            <c:symbol val="none"/>
          </c:marker>
          <c:cat>
            <c:strRef>
              <c:f>'1.1.3 G4'!$S$11:$AB$11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'1.1.3.c'!$E$31:$N$31</c:f>
              <c:numCache>
                <c:formatCode>_ * #,##0_ ;_ * \-#,##0_ ;_ * "-"??_ ;_ @_ </c:formatCode>
                <c:ptCount val="10"/>
                <c:pt idx="0">
                  <c:v>23803</c:v>
                </c:pt>
                <c:pt idx="1">
                  <c:v>25670</c:v>
                </c:pt>
                <c:pt idx="2">
                  <c:v>29463</c:v>
                </c:pt>
                <c:pt idx="3">
                  <c:v>32744</c:v>
                </c:pt>
                <c:pt idx="4">
                  <c:v>36116</c:v>
                </c:pt>
                <c:pt idx="5">
                  <c:v>41108</c:v>
                </c:pt>
                <c:pt idx="6">
                  <c:v>45020</c:v>
                </c:pt>
                <c:pt idx="7">
                  <c:v>45725</c:v>
                </c:pt>
                <c:pt idx="8">
                  <c:v>49992</c:v>
                </c:pt>
                <c:pt idx="9">
                  <c:v>48813</c:v>
                </c:pt>
              </c:numCache>
            </c:numRef>
          </c:val>
          <c:smooth val="0"/>
          <c:extLst xmlns:c16r2="http://schemas.microsoft.com/office/drawing/2015/06/chart">
            <c:ext xmlns:c16="http://schemas.microsoft.com/office/drawing/2014/chart" uri="{C3380CC4-5D6E-409C-BE32-E72D297353CC}">
              <c16:uniqueId val="{00000002-2172-46AA-BB31-B50C13572735}"/>
            </c:ext>
          </c:extLst>
        </c:ser>
        <c:ser>
          <c:idx val="1"/>
          <c:order val="1"/>
          <c:tx>
            <c:strRef>
              <c:f>'1.1.3 G4'!$S$18</c:f>
              <c:strCache>
                <c:ptCount val="1"/>
                <c:pt idx="0">
                  <c:v>Sal. Prom. Mujeres</c:v>
                </c:pt>
              </c:strCache>
            </c:strRef>
          </c:tx>
          <c:spPr>
            <a:ln w="12700" cap="sq" cmpd="sng">
              <a:solidFill>
                <a:srgbClr val="00B0F0"/>
              </a:solidFill>
              <a:prstDash val="lgDash"/>
              <a:miter lim="800000"/>
            </a:ln>
            <a:effectLst/>
          </c:spPr>
          <c:marker>
            <c:symbol val="none"/>
          </c:marker>
          <c:cat>
            <c:strRef>
              <c:f>'1.1.3 G4'!$S$11:$AB$11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'1.1.3.d'!$E$31:$N$31</c:f>
              <c:numCache>
                <c:formatCode>_ * #,##0_ ;_ * \-#,##0_ ;_ * "-"??_ ;_ @_ </c:formatCode>
                <c:ptCount val="10"/>
                <c:pt idx="0">
                  <c:v>19810</c:v>
                </c:pt>
                <c:pt idx="1">
                  <c:v>22701</c:v>
                </c:pt>
                <c:pt idx="2">
                  <c:v>24866</c:v>
                </c:pt>
                <c:pt idx="3">
                  <c:v>27325</c:v>
                </c:pt>
                <c:pt idx="4">
                  <c:v>30049</c:v>
                </c:pt>
                <c:pt idx="5">
                  <c:v>33420</c:v>
                </c:pt>
                <c:pt idx="6">
                  <c:v>35698</c:v>
                </c:pt>
                <c:pt idx="7">
                  <c:v>38516</c:v>
                </c:pt>
                <c:pt idx="8">
                  <c:v>42227</c:v>
                </c:pt>
                <c:pt idx="9">
                  <c:v>38552</c:v>
                </c:pt>
              </c:numCache>
            </c:numRef>
          </c:val>
          <c:smooth val="0"/>
          <c:extLst xmlns:c16r2="http://schemas.microsoft.com/office/drawing/2015/06/chart">
            <c:ext xmlns:c16="http://schemas.microsoft.com/office/drawing/2014/chart" uri="{C3380CC4-5D6E-409C-BE32-E72D297353CC}">
              <c16:uniqueId val="{00000003-2172-46AA-BB31-B50C13572735}"/>
            </c:ext>
          </c:extLst>
        </c:ser>
        <c:dLbls>
          <c:showLegendKey val="0"/>
          <c:showVal val="0"/>
          <c:showCatName val="0"/>
          <c:showSerName val="0"/>
          <c:showPercent val="0"/>
          <c:showBubbleSize val="0"/>
        </c:dLbls>
        <c:marker val="1"/>
        <c:smooth val="0"/>
        <c:axId val="298223480"/>
        <c:axId val="298223872"/>
      </c:lineChart>
      <c:catAx>
        <c:axId val="298223480"/>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298223872"/>
        <c:crosses val="autoZero"/>
        <c:auto val="1"/>
        <c:lblAlgn val="ctr"/>
        <c:lblOffset val="100"/>
        <c:noMultiLvlLbl val="0"/>
      </c:catAx>
      <c:valAx>
        <c:axId val="2982238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8223480"/>
        <c:crosses val="autoZero"/>
        <c:crossBetween val="between"/>
      </c:valAx>
      <c:valAx>
        <c:axId val="298222696"/>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8221912"/>
        <c:crosses val="max"/>
        <c:crossBetween val="between"/>
      </c:valAx>
      <c:catAx>
        <c:axId val="298221912"/>
        <c:scaling>
          <c:orientation val="minMax"/>
        </c:scaling>
        <c:delete val="1"/>
        <c:axPos val="b"/>
        <c:numFmt formatCode="General" sourceLinked="1"/>
        <c:majorTickMark val="out"/>
        <c:minorTickMark val="none"/>
        <c:tickLblPos val="none"/>
        <c:crossAx val="298222696"/>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771"/>
          <c:h val="0.51323928258967899"/>
        </c:manualLayout>
      </c:layout>
      <c:barChart>
        <c:barDir val="col"/>
        <c:grouping val="clustered"/>
        <c:varyColors val="0"/>
        <c:ser>
          <c:idx val="2"/>
          <c:order val="2"/>
          <c:tx>
            <c:strRef>
              <c:f>'1.1.3 G4'!$S$15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'1.1.3.a'!$E$36:$N$36</c:f>
              <c:numCache>
                <c:formatCode>_ * #,##0_ ;_ * \-#,##0_ ;_ * "-"??_ ;_ @_ </c:formatCode>
                <c:ptCount val="10"/>
                <c:pt idx="0">
                  <c:v>3771</c:v>
                </c:pt>
                <c:pt idx="1">
                  <c:v>10839</c:v>
                </c:pt>
                <c:pt idx="2">
                  <c:v>13478</c:v>
                </c:pt>
                <c:pt idx="3">
                  <c:v>12930</c:v>
                </c:pt>
                <c:pt idx="4">
                  <c:v>11180</c:v>
                </c:pt>
                <c:pt idx="5">
                  <c:v>8441</c:v>
                </c:pt>
                <c:pt idx="6">
                  <c:v>6738</c:v>
                </c:pt>
                <c:pt idx="7">
                  <c:v>4971</c:v>
                </c:pt>
                <c:pt idx="8">
                  <c:v>3589</c:v>
                </c:pt>
                <c:pt idx="9">
                  <c:v>1733</c:v>
                </c:pt>
              </c:numCache>
            </c:numRef>
          </c:val>
          <c:extLst xmlns:c16r2="http://schemas.microsoft.com/office/drawing/2015/06/chart">
            <c:ext xmlns:c16="http://schemas.microsoft.com/office/drawing/2014/chart" uri="{C3380CC4-5D6E-409C-BE32-E72D297353CC}">
              <c16:uniqueId val="{00000000-11DC-4C9A-8DA8-15976C89FF98}"/>
            </c:ext>
          </c:extLst>
        </c:ser>
        <c:ser>
          <c:idx val="3"/>
          <c:order val="3"/>
          <c:tx>
            <c:strRef>
              <c:f>'1.1.3 G4'!$S$16</c:f>
              <c:strCache>
                <c:ptCount val="1"/>
                <c:pt idx="0">
                  <c:v>Aportantes Mujeres</c:v>
                </c:pt>
              </c:strCache>
            </c:strRef>
          </c:tx>
          <c:spPr>
            <a:solidFill>
              <a:srgbClr val="00B0F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'1.1.3.b'!$E$36:$N$36</c:f>
              <c:numCache>
                <c:formatCode>_ * #,##0_ ;_ * \-#,##0_ ;_ * "-"??_ ;_ @_ </c:formatCode>
                <c:ptCount val="10"/>
                <c:pt idx="0">
                  <c:v>7499</c:v>
                </c:pt>
                <c:pt idx="1">
                  <c:v>26707</c:v>
                </c:pt>
                <c:pt idx="2">
                  <c:v>35222</c:v>
                </c:pt>
                <c:pt idx="3">
                  <c:v>35382</c:v>
                </c:pt>
                <c:pt idx="4">
                  <c:v>32489</c:v>
                </c:pt>
                <c:pt idx="5">
                  <c:v>25639</c:v>
                </c:pt>
                <c:pt idx="6">
                  <c:v>20639</c:v>
                </c:pt>
                <c:pt idx="7">
                  <c:v>16328</c:v>
                </c:pt>
                <c:pt idx="8">
                  <c:v>6928</c:v>
                </c:pt>
                <c:pt idx="9">
                  <c:v>2837</c:v>
                </c:pt>
              </c:numCache>
            </c:numRef>
          </c:val>
          <c:extLst xmlns:c16r2="http://schemas.microsoft.com/office/drawing/2015/06/chart">
            <c:ext xmlns:c16="http://schemas.microsoft.com/office/drawing/2014/chart" uri="{C3380CC4-5D6E-409C-BE32-E72D297353CC}">
              <c16:uniqueId val="{00000001-11DC-4C9A-8DA8-15976C89FF98}"/>
            </c:ext>
          </c:extLst>
        </c:ser>
        <c:dLbls>
          <c:showLegendKey val="0"/>
          <c:showVal val="0"/>
          <c:showCatName val="0"/>
          <c:showSerName val="0"/>
          <c:showPercent val="0"/>
          <c:showBubbleSize val="0"/>
        </c:dLbls>
        <c:gapWidth val="75"/>
        <c:axId val="301141648"/>
        <c:axId val="301141256"/>
      </c:barChart>
      <c:lineChart>
        <c:grouping val="standard"/>
        <c:varyColors val="0"/>
        <c:ser>
          <c:idx val="0"/>
          <c:order val="0"/>
          <c:tx>
            <c:strRef>
              <c:f>'1.1.3 G4'!$S$17</c:f>
              <c:strCache>
                <c:ptCount val="1"/>
                <c:pt idx="0">
                  <c:v>Sal. Prom. Varones</c:v>
                </c:pt>
              </c:strCache>
            </c:strRef>
          </c:tx>
          <c:spPr>
            <a:ln w="12700" cap="rnd">
              <a:solidFill>
                <a:srgbClr val="0070C0"/>
              </a:solidFill>
              <a:prstDash val="sysDash"/>
              <a:round/>
            </a:ln>
            <a:effectLst/>
          </c:spPr>
          <c:marker>
            <c:symbol val="none"/>
          </c:marker>
          <c:cat>
            <c:strRef>
              <c:f>'1.1.3 G4'!$S$11:$AB$11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'1.1.3.c'!$E$36:$N$36</c:f>
              <c:numCache>
                <c:formatCode>_ * #,##0_ ;_ * \-#,##0_ ;_ * "-"??_ ;_ @_ </c:formatCode>
                <c:ptCount val="10"/>
                <c:pt idx="0">
                  <c:v>31178</c:v>
                </c:pt>
                <c:pt idx="1">
                  <c:v>37600</c:v>
                </c:pt>
                <c:pt idx="2">
                  <c:v>44707</c:v>
                </c:pt>
                <c:pt idx="3">
                  <c:v>51496</c:v>
                </c:pt>
                <c:pt idx="4">
                  <c:v>56065</c:v>
                </c:pt>
                <c:pt idx="5">
                  <c:v>62363</c:v>
                </c:pt>
                <c:pt idx="6">
                  <c:v>66385</c:v>
                </c:pt>
                <c:pt idx="7">
                  <c:v>67875</c:v>
                </c:pt>
                <c:pt idx="8">
                  <c:v>71849</c:v>
                </c:pt>
                <c:pt idx="9">
                  <c:v>73907</c:v>
                </c:pt>
              </c:numCache>
            </c:numRef>
          </c:val>
          <c:smooth val="0"/>
          <c:extLst xmlns:c16r2="http://schemas.microsoft.com/office/drawing/2015/06/chart">
            <c:ext xmlns:c16="http://schemas.microsoft.com/office/drawing/2014/chart" uri="{C3380CC4-5D6E-409C-BE32-E72D297353CC}">
              <c16:uniqueId val="{00000002-11DC-4C9A-8DA8-15976C89FF98}"/>
            </c:ext>
          </c:extLst>
        </c:ser>
        <c:ser>
          <c:idx val="1"/>
          <c:order val="1"/>
          <c:tx>
            <c:strRef>
              <c:f>'1.1.3 G4'!$S$18</c:f>
              <c:strCache>
                <c:ptCount val="1"/>
                <c:pt idx="0">
                  <c:v>Sal. Prom. Mujeres</c:v>
                </c:pt>
              </c:strCache>
            </c:strRef>
          </c:tx>
          <c:spPr>
            <a:ln w="12700" cap="sq" cmpd="sng">
              <a:solidFill>
                <a:srgbClr val="00B0F0"/>
              </a:solidFill>
              <a:prstDash val="lgDash"/>
              <a:miter lim="800000"/>
            </a:ln>
            <a:effectLst/>
          </c:spPr>
          <c:marker>
            <c:symbol val="none"/>
          </c:marker>
          <c:cat>
            <c:strRef>
              <c:f>'1.1.3 G4'!$S$11:$AB$11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'1.1.3.d'!$E$36:$N$36</c:f>
              <c:numCache>
                <c:formatCode>_ * #,##0_ ;_ * \-#,##0_ ;_ * "-"??_ ;_ @_ </c:formatCode>
                <c:ptCount val="10"/>
                <c:pt idx="0">
                  <c:v>29540</c:v>
                </c:pt>
                <c:pt idx="1">
                  <c:v>34372</c:v>
                </c:pt>
                <c:pt idx="2">
                  <c:v>38802</c:v>
                </c:pt>
                <c:pt idx="3">
                  <c:v>41280</c:v>
                </c:pt>
                <c:pt idx="4">
                  <c:v>42919</c:v>
                </c:pt>
                <c:pt idx="5">
                  <c:v>44920</c:v>
                </c:pt>
                <c:pt idx="6">
                  <c:v>47740</c:v>
                </c:pt>
                <c:pt idx="7">
                  <c:v>49253</c:v>
                </c:pt>
                <c:pt idx="8">
                  <c:v>51128</c:v>
                </c:pt>
                <c:pt idx="9">
                  <c:v>45620</c:v>
                </c:pt>
              </c:numCache>
            </c:numRef>
          </c:val>
          <c:smooth val="0"/>
          <c:extLst xmlns:c16r2="http://schemas.microsoft.com/office/drawing/2015/06/chart">
            <c:ext xmlns:c16="http://schemas.microsoft.com/office/drawing/2014/chart" uri="{C3380CC4-5D6E-409C-BE32-E72D297353CC}">
              <c16:uniqueId val="{00000003-11DC-4C9A-8DA8-15976C89FF98}"/>
            </c:ext>
          </c:extLst>
        </c:ser>
        <c:dLbls>
          <c:showLegendKey val="0"/>
          <c:showVal val="0"/>
          <c:showCatName val="0"/>
          <c:showSerName val="0"/>
          <c:showPercent val="0"/>
          <c:showBubbleSize val="0"/>
        </c:dLbls>
        <c:marker val="1"/>
        <c:smooth val="0"/>
        <c:axId val="301140472"/>
        <c:axId val="301140864"/>
      </c:lineChart>
      <c:catAx>
        <c:axId val="301140472"/>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301140864"/>
        <c:crosses val="autoZero"/>
        <c:auto val="1"/>
        <c:lblAlgn val="ctr"/>
        <c:lblOffset val="100"/>
        <c:noMultiLvlLbl val="0"/>
      </c:catAx>
      <c:valAx>
        <c:axId val="3011408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01140472"/>
        <c:crosses val="autoZero"/>
        <c:crossBetween val="between"/>
      </c:valAx>
      <c:valAx>
        <c:axId val="301141256"/>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01141648"/>
        <c:crosses val="max"/>
        <c:crossBetween val="between"/>
      </c:valAx>
      <c:catAx>
        <c:axId val="301141648"/>
        <c:scaling>
          <c:orientation val="minMax"/>
        </c:scaling>
        <c:delete val="1"/>
        <c:axPos val="b"/>
        <c:numFmt formatCode="General" sourceLinked="1"/>
        <c:majorTickMark val="out"/>
        <c:minorTickMark val="none"/>
        <c:tickLblPos val="none"/>
        <c:crossAx val="301141256"/>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771"/>
          <c:h val="0.51323928258967899"/>
        </c:manualLayout>
      </c:layout>
      <c:barChart>
        <c:barDir val="col"/>
        <c:grouping val="clustered"/>
        <c:varyColors val="0"/>
        <c:ser>
          <c:idx val="2"/>
          <c:order val="2"/>
          <c:tx>
            <c:strRef>
              <c:f>'1.1.3 G3'!$S$15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'1.1.3.a'!$E$38:$N$38</c:f>
              <c:numCache>
                <c:formatCode>_ * #,##0_ ;_ * \-#,##0_ ;_ * "-"??_ ;_ @_ </c:formatCode>
                <c:ptCount val="10"/>
                <c:pt idx="0">
                  <c:v>8083</c:v>
                </c:pt>
                <c:pt idx="1">
                  <c:v>14012</c:v>
                </c:pt>
                <c:pt idx="2">
                  <c:v>12781</c:v>
                </c:pt>
                <c:pt idx="3">
                  <c:v>10511</c:v>
                </c:pt>
                <c:pt idx="4">
                  <c:v>8601</c:v>
                </c:pt>
                <c:pt idx="5">
                  <c:v>6211</c:v>
                </c:pt>
                <c:pt idx="6">
                  <c:v>4110</c:v>
                </c:pt>
                <c:pt idx="7">
                  <c:v>3127</c:v>
                </c:pt>
                <c:pt idx="8">
                  <c:v>2189</c:v>
                </c:pt>
                <c:pt idx="9">
                  <c:v>1139</c:v>
                </c:pt>
              </c:numCache>
            </c:numRef>
          </c:val>
          <c:extLst xmlns:c16r2="http://schemas.microsoft.com/office/drawing/2015/06/chart">
            <c:ext xmlns:c16="http://schemas.microsoft.com/office/drawing/2014/chart" uri="{C3380CC4-5D6E-409C-BE32-E72D297353CC}">
              <c16:uniqueId val="{00000000-78E2-4AB9-BE97-714D8EE92AF0}"/>
            </c:ext>
          </c:extLst>
        </c:ser>
        <c:ser>
          <c:idx val="3"/>
          <c:order val="3"/>
          <c:tx>
            <c:strRef>
              <c:f>'1.1.3 G3'!$S$16</c:f>
              <c:strCache>
                <c:ptCount val="1"/>
                <c:pt idx="0">
                  <c:v>Aportantes Mujeres</c:v>
                </c:pt>
              </c:strCache>
            </c:strRef>
          </c:tx>
          <c:spPr>
            <a:solidFill>
              <a:srgbClr val="00B0F0"/>
            </a:solidFill>
            <a:ln>
              <a:solidFill>
                <a:schemeClr val="tx1">
                  <a:lumMod val="75000"/>
                  <a:lumOff val="25000"/>
                </a:schemeClr>
              </a:solidFill>
            </a:ln>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'1.1.3.b'!$E$38:$N$38</c:f>
              <c:numCache>
                <c:formatCode>_ * #,##0_ ;_ * \-#,##0_ ;_ * "-"??_ ;_ @_ </c:formatCode>
                <c:ptCount val="10"/>
                <c:pt idx="0">
                  <c:v>6369</c:v>
                </c:pt>
                <c:pt idx="1">
                  <c:v>13760</c:v>
                </c:pt>
                <c:pt idx="2">
                  <c:v>12241</c:v>
                </c:pt>
                <c:pt idx="3">
                  <c:v>9566</c:v>
                </c:pt>
                <c:pt idx="4">
                  <c:v>7999</c:v>
                </c:pt>
                <c:pt idx="5">
                  <c:v>5871</c:v>
                </c:pt>
                <c:pt idx="6">
                  <c:v>3935</c:v>
                </c:pt>
                <c:pt idx="7">
                  <c:v>3189</c:v>
                </c:pt>
                <c:pt idx="8">
                  <c:v>1387</c:v>
                </c:pt>
                <c:pt idx="9">
                  <c:v>783</c:v>
                </c:pt>
              </c:numCache>
            </c:numRef>
          </c:val>
          <c:extLst xmlns:c16r2="http://schemas.microsoft.com/office/drawing/2015/06/chart">
            <c:ext xmlns:c16="http://schemas.microsoft.com/office/drawing/2014/chart" uri="{C3380CC4-5D6E-409C-BE32-E72D297353CC}">
              <c16:uniqueId val="{00000001-78E2-4AB9-BE97-714D8EE92AF0}"/>
            </c:ext>
          </c:extLst>
        </c:ser>
        <c:dLbls>
          <c:showLegendKey val="0"/>
          <c:showVal val="0"/>
          <c:showCatName val="0"/>
          <c:showSerName val="0"/>
          <c:showPercent val="0"/>
          <c:showBubbleSize val="0"/>
        </c:dLbls>
        <c:gapWidth val="75"/>
        <c:axId val="373392816"/>
        <c:axId val="301143608"/>
      </c:barChart>
      <c:lineChart>
        <c:grouping val="standard"/>
        <c:varyColors val="0"/>
        <c:ser>
          <c:idx val="0"/>
          <c:order val="0"/>
          <c:tx>
            <c:strRef>
              <c:f>'1.1.3 G3'!$S$17</c:f>
              <c:strCache>
                <c:ptCount val="1"/>
                <c:pt idx="0">
                  <c:v>Sal. Prom. Varones</c:v>
                </c:pt>
              </c:strCache>
            </c:strRef>
          </c:tx>
          <c:spPr>
            <a:ln w="12700" cap="rnd">
              <a:solidFill>
                <a:srgbClr val="0070C0"/>
              </a:solidFill>
              <a:prstDash val="sysDash"/>
              <a:round/>
            </a:ln>
            <a:effectLst/>
          </c:spPr>
          <c:marker>
            <c:symbol val="none"/>
          </c:marker>
          <c:cat>
            <c:strRef>
              <c:f>'1.1.3 G3'!$S$11:$AB$11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'1.1.3.c'!$E$38:$N$38</c:f>
              <c:numCache>
                <c:formatCode>_ * #,##0_ ;_ * \-#,##0_ ;_ * "-"??_ ;_ @_ </c:formatCode>
                <c:ptCount val="10"/>
                <c:pt idx="0">
                  <c:v>36178</c:v>
                </c:pt>
                <c:pt idx="1">
                  <c:v>51424</c:v>
                </c:pt>
                <c:pt idx="2">
                  <c:v>64997</c:v>
                </c:pt>
                <c:pt idx="3">
                  <c:v>78324</c:v>
                </c:pt>
                <c:pt idx="4">
                  <c:v>82048</c:v>
                </c:pt>
                <c:pt idx="5">
                  <c:v>85117</c:v>
                </c:pt>
                <c:pt idx="6">
                  <c:v>92380</c:v>
                </c:pt>
                <c:pt idx="7">
                  <c:v>84162</c:v>
                </c:pt>
                <c:pt idx="8">
                  <c:v>85965</c:v>
                </c:pt>
                <c:pt idx="9">
                  <c:v>78614</c:v>
                </c:pt>
              </c:numCache>
            </c:numRef>
          </c:val>
          <c:smooth val="0"/>
          <c:extLst xmlns:c16r2="http://schemas.microsoft.com/office/drawing/2015/06/chart">
            <c:ext xmlns:c16="http://schemas.microsoft.com/office/drawing/2014/chart" uri="{C3380CC4-5D6E-409C-BE32-E72D297353CC}">
              <c16:uniqueId val="{00000002-78E2-4AB9-BE97-714D8EE92AF0}"/>
            </c:ext>
          </c:extLst>
        </c:ser>
        <c:ser>
          <c:idx val="1"/>
          <c:order val="1"/>
          <c:tx>
            <c:strRef>
              <c:f>'1.1.3 G3'!$S$18</c:f>
              <c:strCache>
                <c:ptCount val="1"/>
                <c:pt idx="0">
                  <c:v>Sal. Prom. Mujeres</c:v>
                </c:pt>
              </c:strCache>
            </c:strRef>
          </c:tx>
          <c:spPr>
            <a:ln w="12700" cap="sq" cmpd="sng">
              <a:solidFill>
                <a:srgbClr val="00B0F0"/>
              </a:solidFill>
              <a:prstDash val="lgDash"/>
              <a:miter lim="800000"/>
            </a:ln>
            <a:effectLst/>
          </c:spPr>
          <c:marker>
            <c:symbol val="none"/>
          </c:marker>
          <c:cat>
            <c:strRef>
              <c:f>'1.1.3 G3'!$S$11:$AB$11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'1.1.3.d'!$E$38:$N$38</c:f>
              <c:numCache>
                <c:formatCode>_ * #,##0_ ;_ * \-#,##0_ ;_ * "-"??_ ;_ @_ </c:formatCode>
                <c:ptCount val="10"/>
                <c:pt idx="0">
                  <c:v>35933</c:v>
                </c:pt>
                <c:pt idx="1">
                  <c:v>48003</c:v>
                </c:pt>
                <c:pt idx="2">
                  <c:v>57896</c:v>
                </c:pt>
                <c:pt idx="3">
                  <c:v>64824</c:v>
                </c:pt>
                <c:pt idx="4">
                  <c:v>66313</c:v>
                </c:pt>
                <c:pt idx="5">
                  <c:v>68767</c:v>
                </c:pt>
                <c:pt idx="6">
                  <c:v>61915</c:v>
                </c:pt>
                <c:pt idx="7">
                  <c:v>61542</c:v>
                </c:pt>
                <c:pt idx="8">
                  <c:v>57646</c:v>
                </c:pt>
                <c:pt idx="9">
                  <c:v>45169</c:v>
                </c:pt>
              </c:numCache>
            </c:numRef>
          </c:val>
          <c:smooth val="0"/>
          <c:extLst xmlns:c16r2="http://schemas.microsoft.com/office/drawing/2015/06/chart">
            <c:ext xmlns:c16="http://schemas.microsoft.com/office/drawing/2014/chart" uri="{C3380CC4-5D6E-409C-BE32-E72D297353CC}">
              <c16:uniqueId val="{00000003-78E2-4AB9-BE97-714D8EE92AF0}"/>
            </c:ext>
          </c:extLst>
        </c:ser>
        <c:dLbls>
          <c:showLegendKey val="0"/>
          <c:showVal val="0"/>
          <c:showCatName val="0"/>
          <c:showSerName val="0"/>
          <c:showPercent val="0"/>
          <c:showBubbleSize val="0"/>
        </c:dLbls>
        <c:marker val="1"/>
        <c:smooth val="0"/>
        <c:axId val="301142824"/>
        <c:axId val="301143216"/>
      </c:lineChart>
      <c:catAx>
        <c:axId val="301142824"/>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301143216"/>
        <c:crosses val="autoZero"/>
        <c:auto val="1"/>
        <c:lblAlgn val="ctr"/>
        <c:lblOffset val="100"/>
        <c:noMultiLvlLbl val="0"/>
      </c:catAx>
      <c:valAx>
        <c:axId val="301143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01142824"/>
        <c:crosses val="autoZero"/>
        <c:crossBetween val="between"/>
      </c:valAx>
      <c:valAx>
        <c:axId val="301143608"/>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73392816"/>
        <c:crosses val="max"/>
        <c:crossBetween val="between"/>
      </c:valAx>
      <c:catAx>
        <c:axId val="373392816"/>
        <c:scaling>
          <c:orientation val="minMax"/>
        </c:scaling>
        <c:delete val="1"/>
        <c:axPos val="b"/>
        <c:numFmt formatCode="General" sourceLinked="1"/>
        <c:majorTickMark val="out"/>
        <c:minorTickMark val="none"/>
        <c:tickLblPos val="none"/>
        <c:crossAx val="301143608"/>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771"/>
          <c:h val="0.51323928258967899"/>
        </c:manualLayout>
      </c:layout>
      <c:barChart>
        <c:barDir val="col"/>
        <c:grouping val="clustered"/>
        <c:varyColors val="0"/>
        <c:ser>
          <c:idx val="2"/>
          <c:order val="2"/>
          <c:tx>
            <c:strRef>
              <c:f>'1.1.3 G5'!$S$15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'1.1.3.a'!$E$46:$N$46</c:f>
              <c:numCache>
                <c:formatCode>_ * #,##0_ ;_ * \-#,##0_ ;_ * "-"??_ ;_ @_ </c:formatCode>
                <c:ptCount val="10"/>
                <c:pt idx="0">
                  <c:v>7</c:v>
                </c:pt>
                <c:pt idx="1">
                  <c:v>317</c:v>
                </c:pt>
                <c:pt idx="2">
                  <c:v>431</c:v>
                </c:pt>
                <c:pt idx="3">
                  <c:v>410</c:v>
                </c:pt>
                <c:pt idx="4">
                  <c:v>344</c:v>
                </c:pt>
                <c:pt idx="5">
                  <c:v>207</c:v>
                </c:pt>
                <c:pt idx="6">
                  <c:v>74</c:v>
                </c:pt>
                <c:pt idx="7">
                  <c:v>53</c:v>
                </c:pt>
                <c:pt idx="8">
                  <c:v>38</c:v>
                </c:pt>
                <c:pt idx="9">
                  <c:v>5</c:v>
                </c:pt>
              </c:numCache>
            </c:numRef>
          </c:val>
          <c:extLst xmlns:c16r2="http://schemas.microsoft.com/office/drawing/2015/06/chart">
            <c:ext xmlns:c16="http://schemas.microsoft.com/office/drawing/2014/chart" uri="{C3380CC4-5D6E-409C-BE32-E72D297353CC}">
              <c16:uniqueId val="{00000000-E0A3-4367-AD21-19110CB893A8}"/>
            </c:ext>
          </c:extLst>
        </c:ser>
        <c:ser>
          <c:idx val="3"/>
          <c:order val="3"/>
          <c:tx>
            <c:strRef>
              <c:f>'1.1.3 G5'!$S$16</c:f>
              <c:strCache>
                <c:ptCount val="1"/>
                <c:pt idx="0">
                  <c:v>Aportantes Mujeres</c:v>
                </c:pt>
              </c:strCache>
            </c:strRef>
          </c:tx>
          <c:spPr>
            <a:solidFill>
              <a:srgbClr val="00B0F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'1.1.3.b'!$E$46:$N$46</c:f>
              <c:numCache>
                <c:formatCode>_ * #,##0_ ;_ * \-#,##0_ ;_ * "-"??_ ;_ @_ </c:formatCode>
                <c:ptCount val="10"/>
                <c:pt idx="0">
                  <c:v>1</c:v>
                </c:pt>
                <c:pt idx="1">
                  <c:v>12</c:v>
                </c:pt>
                <c:pt idx="2">
                  <c:v>34</c:v>
                </c:pt>
                <c:pt idx="3">
                  <c:v>43</c:v>
                </c:pt>
                <c:pt idx="4">
                  <c:v>26</c:v>
                </c:pt>
                <c:pt idx="5">
                  <c:v>20</c:v>
                </c:pt>
                <c:pt idx="6">
                  <c:v>9</c:v>
                </c:pt>
                <c:pt idx="7">
                  <c:v>9</c:v>
                </c:pt>
                <c:pt idx="8">
                  <c:v>2</c:v>
                </c:pt>
                <c:pt idx="9">
                  <c:v>0</c:v>
                </c:pt>
              </c:numCache>
            </c:numRef>
          </c:val>
          <c:extLst xmlns:c16r2="http://schemas.microsoft.com/office/drawing/2015/06/chart">
            <c:ext xmlns:c16="http://schemas.microsoft.com/office/drawing/2014/chart" uri="{C3380CC4-5D6E-409C-BE32-E72D297353CC}">
              <c16:uniqueId val="{00000001-E0A3-4367-AD21-19110CB893A8}"/>
            </c:ext>
          </c:extLst>
        </c:ser>
        <c:dLbls>
          <c:showLegendKey val="0"/>
          <c:showVal val="0"/>
          <c:showCatName val="0"/>
          <c:showSerName val="0"/>
          <c:showPercent val="0"/>
          <c:showBubbleSize val="0"/>
        </c:dLbls>
        <c:gapWidth val="75"/>
        <c:axId val="373395168"/>
        <c:axId val="373394776"/>
      </c:barChart>
      <c:lineChart>
        <c:grouping val="standard"/>
        <c:varyColors val="0"/>
        <c:ser>
          <c:idx val="0"/>
          <c:order val="0"/>
          <c:tx>
            <c:strRef>
              <c:f>'1.1.3 G5'!$S$17</c:f>
              <c:strCache>
                <c:ptCount val="1"/>
                <c:pt idx="0">
                  <c:v>Sal. Prom. Varones</c:v>
                </c:pt>
              </c:strCache>
            </c:strRef>
          </c:tx>
          <c:spPr>
            <a:ln w="12700" cap="rnd">
              <a:solidFill>
                <a:srgbClr val="0070C0"/>
              </a:solidFill>
              <a:prstDash val="sysDash"/>
              <a:round/>
            </a:ln>
            <a:effectLst/>
          </c:spPr>
          <c:marker>
            <c:symbol val="none"/>
          </c:marker>
          <c:cat>
            <c:strRef>
              <c:f>'1.1.3 G5'!$S$11:$AB$11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'1.1.3.c'!$E$46:$N$46</c:f>
              <c:numCache>
                <c:formatCode>_ * #,##0_ ;_ * \-#,##0_ ;_ * "-"??_ ;_ @_ </c:formatCode>
                <c:ptCount val="10"/>
                <c:pt idx="0">
                  <c:v>55814</c:v>
                </c:pt>
                <c:pt idx="1">
                  <c:v>65349</c:v>
                </c:pt>
                <c:pt idx="2">
                  <c:v>80406</c:v>
                </c:pt>
                <c:pt idx="3">
                  <c:v>93688</c:v>
                </c:pt>
                <c:pt idx="4">
                  <c:v>94070</c:v>
                </c:pt>
                <c:pt idx="5">
                  <c:v>97450</c:v>
                </c:pt>
                <c:pt idx="6">
                  <c:v>113675</c:v>
                </c:pt>
                <c:pt idx="7">
                  <c:v>119474</c:v>
                </c:pt>
                <c:pt idx="8">
                  <c:v>111329</c:v>
                </c:pt>
                <c:pt idx="9">
                  <c:v>122332</c:v>
                </c:pt>
              </c:numCache>
            </c:numRef>
          </c:val>
          <c:smooth val="0"/>
          <c:extLst xmlns:c16r2="http://schemas.microsoft.com/office/drawing/2015/06/chart">
            <c:ext xmlns:c16="http://schemas.microsoft.com/office/drawing/2014/chart" uri="{C3380CC4-5D6E-409C-BE32-E72D297353CC}">
              <c16:uniqueId val="{00000002-E0A3-4367-AD21-19110CB893A8}"/>
            </c:ext>
          </c:extLst>
        </c:ser>
        <c:ser>
          <c:idx val="1"/>
          <c:order val="1"/>
          <c:tx>
            <c:strRef>
              <c:f>'1.1.3 G5'!$S$18</c:f>
              <c:strCache>
                <c:ptCount val="1"/>
                <c:pt idx="0">
                  <c:v>Sal. Prom. Mujeres</c:v>
                </c:pt>
              </c:strCache>
            </c:strRef>
          </c:tx>
          <c:spPr>
            <a:ln w="12700" cap="sq" cmpd="sng">
              <a:solidFill>
                <a:srgbClr val="00B0F0"/>
              </a:solidFill>
              <a:prstDash val="lgDash"/>
              <a:miter lim="800000"/>
            </a:ln>
            <a:effectLst/>
          </c:spPr>
          <c:marker>
            <c:symbol val="none"/>
          </c:marker>
          <c:cat>
            <c:strRef>
              <c:f>'1.1.3 G5'!$S$11:$AB$11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'1.1.3.d'!$E$46:$N$46</c:f>
              <c:numCache>
                <c:formatCode>_ * #,##0_ ;_ * \-#,##0_ ;_ * "-"??_ ;_ @_ </c:formatCode>
                <c:ptCount val="10"/>
                <c:pt idx="0">
                  <c:v>60022</c:v>
                </c:pt>
                <c:pt idx="1">
                  <c:v>59193</c:v>
                </c:pt>
                <c:pt idx="2">
                  <c:v>81504</c:v>
                </c:pt>
                <c:pt idx="3">
                  <c:v>76664</c:v>
                </c:pt>
                <c:pt idx="4">
                  <c:v>75007</c:v>
                </c:pt>
                <c:pt idx="5">
                  <c:v>75953</c:v>
                </c:pt>
                <c:pt idx="6">
                  <c:v>69485</c:v>
                </c:pt>
                <c:pt idx="7">
                  <c:v>88211</c:v>
                </c:pt>
                <c:pt idx="8">
                  <c:v>119797</c:v>
                </c:pt>
                <c:pt idx="9">
                  <c:v>0</c:v>
                </c:pt>
              </c:numCache>
            </c:numRef>
          </c:val>
          <c:smooth val="0"/>
          <c:extLst xmlns:c16r2="http://schemas.microsoft.com/office/drawing/2015/06/chart">
            <c:ext xmlns:c16="http://schemas.microsoft.com/office/drawing/2014/chart" uri="{C3380CC4-5D6E-409C-BE32-E72D297353CC}">
              <c16:uniqueId val="{00000003-E0A3-4367-AD21-19110CB893A8}"/>
            </c:ext>
          </c:extLst>
        </c:ser>
        <c:dLbls>
          <c:showLegendKey val="0"/>
          <c:showVal val="0"/>
          <c:showCatName val="0"/>
          <c:showSerName val="0"/>
          <c:showPercent val="0"/>
          <c:showBubbleSize val="0"/>
        </c:dLbls>
        <c:marker val="1"/>
        <c:smooth val="0"/>
        <c:axId val="373393992"/>
        <c:axId val="373394384"/>
      </c:lineChart>
      <c:catAx>
        <c:axId val="373393992"/>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373394384"/>
        <c:crosses val="autoZero"/>
        <c:auto val="1"/>
        <c:lblAlgn val="ctr"/>
        <c:lblOffset val="100"/>
        <c:noMultiLvlLbl val="0"/>
      </c:catAx>
      <c:valAx>
        <c:axId val="373394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73393992"/>
        <c:crosses val="autoZero"/>
        <c:crossBetween val="between"/>
      </c:valAx>
      <c:valAx>
        <c:axId val="373394776"/>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373395168"/>
        <c:crosses val="max"/>
        <c:crossBetween val="between"/>
      </c:valAx>
      <c:catAx>
        <c:axId val="373395168"/>
        <c:scaling>
          <c:orientation val="minMax"/>
        </c:scaling>
        <c:delete val="1"/>
        <c:axPos val="b"/>
        <c:numFmt formatCode="General" sourceLinked="1"/>
        <c:majorTickMark val="out"/>
        <c:minorTickMark val="none"/>
        <c:tickLblPos val="none"/>
        <c:crossAx val="373394776"/>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771"/>
          <c:h val="0.51323928258967899"/>
        </c:manualLayout>
      </c:layout>
      <c:barChart>
        <c:barDir val="col"/>
        <c:grouping val="clustered"/>
        <c:varyColors val="0"/>
        <c:ser>
          <c:idx val="2"/>
          <c:order val="2"/>
          <c:tx>
            <c:strRef>
              <c:f>'1.1.3 G5'!$S$15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'1.1.3.a'!$E$47:$N$47</c:f>
              <c:numCache>
                <c:formatCode>_ * #,##0_ ;_ * \-#,##0_ ;_ * "-"??_ ;_ @_ </c:formatCode>
                <c:ptCount val="10"/>
                <c:pt idx="0">
                  <c:v>4396</c:v>
                </c:pt>
                <c:pt idx="1">
                  <c:v>11181</c:v>
                </c:pt>
                <c:pt idx="2">
                  <c:v>11956</c:v>
                </c:pt>
                <c:pt idx="3">
                  <c:v>13024</c:v>
                </c:pt>
                <c:pt idx="4">
                  <c:v>10616</c:v>
                </c:pt>
                <c:pt idx="5">
                  <c:v>5743</c:v>
                </c:pt>
                <c:pt idx="6">
                  <c:v>2323</c:v>
                </c:pt>
                <c:pt idx="7">
                  <c:v>619</c:v>
                </c:pt>
                <c:pt idx="8">
                  <c:v>179</c:v>
                </c:pt>
                <c:pt idx="9">
                  <c:v>81</c:v>
                </c:pt>
              </c:numCache>
            </c:numRef>
          </c:val>
          <c:extLst xmlns:c16r2="http://schemas.microsoft.com/office/drawing/2015/06/chart">
            <c:ext xmlns:c16="http://schemas.microsoft.com/office/drawing/2014/chart" uri="{C3380CC4-5D6E-409C-BE32-E72D297353CC}">
              <c16:uniqueId val="{00000000-D2FA-4E3C-B727-4D361C62382A}"/>
            </c:ext>
          </c:extLst>
        </c:ser>
        <c:ser>
          <c:idx val="3"/>
          <c:order val="3"/>
          <c:tx>
            <c:strRef>
              <c:f>'1.1.3 G5'!$S$16</c:f>
              <c:strCache>
                <c:ptCount val="1"/>
                <c:pt idx="0">
                  <c:v>Aportantes Mujeres</c:v>
                </c:pt>
              </c:strCache>
            </c:strRef>
          </c:tx>
          <c:spPr>
            <a:solidFill>
              <a:srgbClr val="00B0F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'1.1.3.b'!$E$47:$N$47</c:f>
              <c:numCache>
                <c:formatCode>_ * #,##0_ ;_ * \-#,##0_ ;_ * "-"??_ ;_ @_ </c:formatCode>
                <c:ptCount val="10"/>
                <c:pt idx="0">
                  <c:v>1590</c:v>
                </c:pt>
                <c:pt idx="1">
                  <c:v>4405</c:v>
                </c:pt>
                <c:pt idx="2">
                  <c:v>5144</c:v>
                </c:pt>
                <c:pt idx="3">
                  <c:v>4980</c:v>
                </c:pt>
                <c:pt idx="4">
                  <c:v>3388</c:v>
                </c:pt>
                <c:pt idx="5">
                  <c:v>1211</c:v>
                </c:pt>
                <c:pt idx="6">
                  <c:v>399</c:v>
                </c:pt>
                <c:pt idx="7">
                  <c:v>143</c:v>
                </c:pt>
                <c:pt idx="8">
                  <c:v>42</c:v>
                </c:pt>
                <c:pt idx="9">
                  <c:v>28</c:v>
                </c:pt>
              </c:numCache>
            </c:numRef>
          </c:val>
          <c:extLst xmlns:c16r2="http://schemas.microsoft.com/office/drawing/2015/06/chart">
            <c:ext xmlns:c16="http://schemas.microsoft.com/office/drawing/2014/chart" uri="{C3380CC4-5D6E-409C-BE32-E72D297353CC}">
              <c16:uniqueId val="{00000001-D2FA-4E3C-B727-4D361C62382A}"/>
            </c:ext>
          </c:extLst>
        </c:ser>
        <c:dLbls>
          <c:showLegendKey val="0"/>
          <c:showVal val="0"/>
          <c:showCatName val="0"/>
          <c:showSerName val="0"/>
          <c:showPercent val="0"/>
          <c:showBubbleSize val="0"/>
        </c:dLbls>
        <c:gapWidth val="75"/>
        <c:axId val="295587912"/>
        <c:axId val="295587520"/>
      </c:barChart>
      <c:lineChart>
        <c:grouping val="standard"/>
        <c:varyColors val="0"/>
        <c:ser>
          <c:idx val="0"/>
          <c:order val="0"/>
          <c:tx>
            <c:strRef>
              <c:f>'1.1.3 G5'!$S$17</c:f>
              <c:strCache>
                <c:ptCount val="1"/>
                <c:pt idx="0">
                  <c:v>Sal. Prom. Varones</c:v>
                </c:pt>
              </c:strCache>
            </c:strRef>
          </c:tx>
          <c:spPr>
            <a:ln w="12700" cap="rnd">
              <a:solidFill>
                <a:srgbClr val="0070C0"/>
              </a:solidFill>
              <a:prstDash val="sysDash"/>
              <a:round/>
            </a:ln>
            <a:effectLst/>
          </c:spPr>
          <c:marker>
            <c:symbol val="none"/>
          </c:marker>
          <c:cat>
            <c:strRef>
              <c:f>'1.1.3 G5'!$S$11:$AB$11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'1.1.3.c'!$E$47:$N$47</c:f>
              <c:numCache>
                <c:formatCode>_ * #,##0_ ;_ * \-#,##0_ ;_ * "-"??_ ;_ @_ </c:formatCode>
                <c:ptCount val="10"/>
                <c:pt idx="0">
                  <c:v>37569</c:v>
                </c:pt>
                <c:pt idx="1">
                  <c:v>39812</c:v>
                </c:pt>
                <c:pt idx="2">
                  <c:v>41686</c:v>
                </c:pt>
                <c:pt idx="3">
                  <c:v>46071</c:v>
                </c:pt>
                <c:pt idx="4">
                  <c:v>52722</c:v>
                </c:pt>
                <c:pt idx="5">
                  <c:v>62023</c:v>
                </c:pt>
                <c:pt idx="6">
                  <c:v>69031</c:v>
                </c:pt>
                <c:pt idx="7">
                  <c:v>63132</c:v>
                </c:pt>
                <c:pt idx="8">
                  <c:v>61529</c:v>
                </c:pt>
                <c:pt idx="9">
                  <c:v>64564</c:v>
                </c:pt>
              </c:numCache>
            </c:numRef>
          </c:val>
          <c:smooth val="0"/>
          <c:extLst xmlns:c16r2="http://schemas.microsoft.com/office/drawing/2015/06/chart">
            <c:ext xmlns:c16="http://schemas.microsoft.com/office/drawing/2014/chart" uri="{C3380CC4-5D6E-409C-BE32-E72D297353CC}">
              <c16:uniqueId val="{00000002-D2FA-4E3C-B727-4D361C62382A}"/>
            </c:ext>
          </c:extLst>
        </c:ser>
        <c:ser>
          <c:idx val="1"/>
          <c:order val="1"/>
          <c:tx>
            <c:strRef>
              <c:f>'1.1.3 G5'!$S$18</c:f>
              <c:strCache>
                <c:ptCount val="1"/>
                <c:pt idx="0">
                  <c:v>Sal. Prom. Mujeres</c:v>
                </c:pt>
              </c:strCache>
            </c:strRef>
          </c:tx>
          <c:spPr>
            <a:ln w="12700" cap="sq" cmpd="sng">
              <a:solidFill>
                <a:srgbClr val="00B0F0"/>
              </a:solidFill>
              <a:prstDash val="lgDash"/>
              <a:miter lim="800000"/>
            </a:ln>
            <a:effectLst/>
          </c:spPr>
          <c:marker>
            <c:symbol val="none"/>
          </c:marker>
          <c:cat>
            <c:strRef>
              <c:f>'1.1.3 G5'!$S$11:$AB$11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'1.1.3.d'!$E$47:$N$47</c:f>
              <c:numCache>
                <c:formatCode>_ * #,##0_ ;_ * \-#,##0_ ;_ * "-"??_ ;_ @_ </c:formatCode>
                <c:ptCount val="10"/>
                <c:pt idx="0">
                  <c:v>39328</c:v>
                </c:pt>
                <c:pt idx="1">
                  <c:v>42206</c:v>
                </c:pt>
                <c:pt idx="2">
                  <c:v>44199</c:v>
                </c:pt>
                <c:pt idx="3">
                  <c:v>46870</c:v>
                </c:pt>
                <c:pt idx="4">
                  <c:v>51989</c:v>
                </c:pt>
                <c:pt idx="5">
                  <c:v>58860</c:v>
                </c:pt>
                <c:pt idx="6">
                  <c:v>67414</c:v>
                </c:pt>
                <c:pt idx="7">
                  <c:v>65470</c:v>
                </c:pt>
                <c:pt idx="8">
                  <c:v>70880</c:v>
                </c:pt>
                <c:pt idx="9">
                  <c:v>70388</c:v>
                </c:pt>
              </c:numCache>
            </c:numRef>
          </c:val>
          <c:smooth val="0"/>
          <c:extLst xmlns:c16r2="http://schemas.microsoft.com/office/drawing/2015/06/chart">
            <c:ext xmlns:c16="http://schemas.microsoft.com/office/drawing/2014/chart" uri="{C3380CC4-5D6E-409C-BE32-E72D297353CC}">
              <c16:uniqueId val="{00000003-D2FA-4E3C-B727-4D361C62382A}"/>
            </c:ext>
          </c:extLst>
        </c:ser>
        <c:dLbls>
          <c:showLegendKey val="0"/>
          <c:showVal val="0"/>
          <c:showCatName val="0"/>
          <c:showSerName val="0"/>
          <c:showPercent val="0"/>
          <c:showBubbleSize val="0"/>
        </c:dLbls>
        <c:marker val="1"/>
        <c:smooth val="0"/>
        <c:axId val="295586736"/>
        <c:axId val="295587128"/>
      </c:lineChart>
      <c:catAx>
        <c:axId val="295586736"/>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295587128"/>
        <c:crosses val="autoZero"/>
        <c:auto val="1"/>
        <c:lblAlgn val="ctr"/>
        <c:lblOffset val="100"/>
        <c:noMultiLvlLbl val="0"/>
      </c:catAx>
      <c:valAx>
        <c:axId val="2955871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5586736"/>
        <c:crosses val="autoZero"/>
        <c:crossBetween val="between"/>
      </c:valAx>
      <c:valAx>
        <c:axId val="295587520"/>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5587912"/>
        <c:crosses val="max"/>
        <c:crossBetween val="between"/>
      </c:valAx>
      <c:catAx>
        <c:axId val="295587912"/>
        <c:scaling>
          <c:orientation val="minMax"/>
        </c:scaling>
        <c:delete val="1"/>
        <c:axPos val="b"/>
        <c:numFmt formatCode="General" sourceLinked="1"/>
        <c:majorTickMark val="out"/>
        <c:minorTickMark val="none"/>
        <c:tickLblPos val="none"/>
        <c:crossAx val="295587520"/>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51443569553882"/>
          <c:y val="0.18890813648294147"/>
          <c:w val="0.67197112860892672"/>
          <c:h val="0.51323928258967899"/>
        </c:manualLayout>
      </c:layout>
      <c:barChart>
        <c:barDir val="col"/>
        <c:grouping val="clustered"/>
        <c:varyColors val="0"/>
        <c:ser>
          <c:idx val="2"/>
          <c:order val="2"/>
          <c:tx>
            <c:strRef>
              <c:f>'1.1.3 G3'!$S$15</c:f>
              <c:strCache>
                <c:ptCount val="1"/>
                <c:pt idx="0">
                  <c:v>Aportantes Varones</c:v>
                </c:pt>
              </c:strCache>
            </c:strRef>
          </c:tx>
          <c:spPr>
            <a:solidFill>
              <a:srgbClr val="0070C0"/>
            </a:solidFill>
            <a:ln w="6350">
              <a:solidFill>
                <a:schemeClr val="tx1">
                  <a:lumMod val="75000"/>
                  <a:lumOff val="25000"/>
                </a:schemeClr>
              </a:solidFill>
            </a:ln>
            <a:effectLst/>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'1.1.3.a'!$E$29:$N$29</c:f>
              <c:numCache>
                <c:formatCode>_ * #,##0_ ;_ * \-#,##0_ ;_ * "-"??_ ;_ @_ </c:formatCode>
                <c:ptCount val="10"/>
                <c:pt idx="0">
                  <c:v>23400</c:v>
                </c:pt>
                <c:pt idx="1">
                  <c:v>35607</c:v>
                </c:pt>
                <c:pt idx="2">
                  <c:v>37909</c:v>
                </c:pt>
                <c:pt idx="3">
                  <c:v>36329</c:v>
                </c:pt>
                <c:pt idx="4">
                  <c:v>32534</c:v>
                </c:pt>
                <c:pt idx="5">
                  <c:v>24124</c:v>
                </c:pt>
                <c:pt idx="6">
                  <c:v>16861</c:v>
                </c:pt>
                <c:pt idx="7">
                  <c:v>11058</c:v>
                </c:pt>
                <c:pt idx="8">
                  <c:v>6397</c:v>
                </c:pt>
                <c:pt idx="9">
                  <c:v>2823</c:v>
                </c:pt>
              </c:numCache>
            </c:numRef>
          </c:val>
          <c:extLst xmlns:c16r2="http://schemas.microsoft.com/office/drawing/2015/06/chart">
            <c:ext xmlns:c16="http://schemas.microsoft.com/office/drawing/2014/chart" uri="{C3380CC4-5D6E-409C-BE32-E72D297353CC}">
              <c16:uniqueId val="{00000000-46F7-402F-9299-D8A70FA05881}"/>
            </c:ext>
          </c:extLst>
        </c:ser>
        <c:ser>
          <c:idx val="3"/>
          <c:order val="3"/>
          <c:tx>
            <c:strRef>
              <c:f>'1.1.3 G3'!$S$16</c:f>
              <c:strCache>
                <c:ptCount val="1"/>
                <c:pt idx="0">
                  <c:v>Aportantes Mujeres</c:v>
                </c:pt>
              </c:strCache>
            </c:strRef>
          </c:tx>
          <c:spPr>
            <a:solidFill>
              <a:srgbClr val="00B0F0"/>
            </a:solidFill>
            <a:ln>
              <a:solidFill>
                <a:schemeClr val="tx1">
                  <a:lumMod val="75000"/>
                  <a:lumOff val="25000"/>
                </a:schemeClr>
              </a:solidFill>
            </a:ln>
          </c:spPr>
          <c:invertIfNegative val="0"/>
          <c:cat>
            <c:strRef>
              <c:f>'1.1.3.a'!$E$5:$N$5</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'1.1.3.b'!$E$29:$N$29</c:f>
              <c:numCache>
                <c:formatCode>_ * #,##0_ ;_ * \-#,##0_ ;_ * "-"??_ ;_ @_ </c:formatCode>
                <c:ptCount val="10"/>
                <c:pt idx="0">
                  <c:v>1105</c:v>
                </c:pt>
                <c:pt idx="1">
                  <c:v>3102</c:v>
                </c:pt>
                <c:pt idx="2">
                  <c:v>3553</c:v>
                </c:pt>
                <c:pt idx="3">
                  <c:v>3296</c:v>
                </c:pt>
                <c:pt idx="4">
                  <c:v>2860</c:v>
                </c:pt>
                <c:pt idx="5">
                  <c:v>1910</c:v>
                </c:pt>
                <c:pt idx="6">
                  <c:v>1288</c:v>
                </c:pt>
                <c:pt idx="7">
                  <c:v>977</c:v>
                </c:pt>
                <c:pt idx="8">
                  <c:v>380</c:v>
                </c:pt>
                <c:pt idx="9">
                  <c:v>208</c:v>
                </c:pt>
              </c:numCache>
            </c:numRef>
          </c:val>
          <c:extLst xmlns:c16r2="http://schemas.microsoft.com/office/drawing/2015/06/chart">
            <c:ext xmlns:c16="http://schemas.microsoft.com/office/drawing/2014/chart" uri="{C3380CC4-5D6E-409C-BE32-E72D297353CC}">
              <c16:uniqueId val="{00000001-46F7-402F-9299-D8A70FA05881}"/>
            </c:ext>
          </c:extLst>
        </c:ser>
        <c:dLbls>
          <c:showLegendKey val="0"/>
          <c:showVal val="0"/>
          <c:showCatName val="0"/>
          <c:showSerName val="0"/>
          <c:showPercent val="0"/>
          <c:showBubbleSize val="0"/>
        </c:dLbls>
        <c:gapWidth val="75"/>
        <c:axId val="295590264"/>
        <c:axId val="295589872"/>
      </c:barChart>
      <c:lineChart>
        <c:grouping val="standard"/>
        <c:varyColors val="0"/>
        <c:ser>
          <c:idx val="0"/>
          <c:order val="0"/>
          <c:tx>
            <c:strRef>
              <c:f>'1.1.3 G3'!$S$17</c:f>
              <c:strCache>
                <c:ptCount val="1"/>
                <c:pt idx="0">
                  <c:v>Sal. Prom. Varones</c:v>
                </c:pt>
              </c:strCache>
            </c:strRef>
          </c:tx>
          <c:spPr>
            <a:ln w="12700" cap="rnd">
              <a:solidFill>
                <a:srgbClr val="0070C0"/>
              </a:solidFill>
              <a:prstDash val="sysDash"/>
              <a:round/>
            </a:ln>
            <a:effectLst/>
          </c:spPr>
          <c:marker>
            <c:symbol val="none"/>
          </c:marker>
          <c:cat>
            <c:strRef>
              <c:f>'1.1.3 G3'!$S$11:$AB$11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'1.1.3.c'!$E$29:$N$29</c:f>
              <c:numCache>
                <c:formatCode>_ * #,##0_ ;_ * \-#,##0_ ;_ * "-"??_ ;_ @_ </c:formatCode>
                <c:ptCount val="10"/>
                <c:pt idx="0">
                  <c:v>26463</c:v>
                </c:pt>
                <c:pt idx="1">
                  <c:v>33297</c:v>
                </c:pt>
                <c:pt idx="2">
                  <c:v>38487</c:v>
                </c:pt>
                <c:pt idx="3">
                  <c:v>42164</c:v>
                </c:pt>
                <c:pt idx="4">
                  <c:v>45102</c:v>
                </c:pt>
                <c:pt idx="5">
                  <c:v>46935</c:v>
                </c:pt>
                <c:pt idx="6">
                  <c:v>48593</c:v>
                </c:pt>
                <c:pt idx="7">
                  <c:v>53145</c:v>
                </c:pt>
                <c:pt idx="8">
                  <c:v>59775</c:v>
                </c:pt>
                <c:pt idx="9">
                  <c:v>66176</c:v>
                </c:pt>
              </c:numCache>
            </c:numRef>
          </c:val>
          <c:smooth val="0"/>
          <c:extLst xmlns:c16r2="http://schemas.microsoft.com/office/drawing/2015/06/chart">
            <c:ext xmlns:c16="http://schemas.microsoft.com/office/drawing/2014/chart" uri="{C3380CC4-5D6E-409C-BE32-E72D297353CC}">
              <c16:uniqueId val="{00000002-46F7-402F-9299-D8A70FA05881}"/>
            </c:ext>
          </c:extLst>
        </c:ser>
        <c:ser>
          <c:idx val="1"/>
          <c:order val="1"/>
          <c:tx>
            <c:strRef>
              <c:f>'1.1.3 G3'!$S$18</c:f>
              <c:strCache>
                <c:ptCount val="1"/>
                <c:pt idx="0">
                  <c:v>Sal. Prom. Mujeres</c:v>
                </c:pt>
              </c:strCache>
            </c:strRef>
          </c:tx>
          <c:spPr>
            <a:ln w="12700" cap="sq" cmpd="sng">
              <a:solidFill>
                <a:srgbClr val="00B0F0"/>
              </a:solidFill>
              <a:prstDash val="lgDash"/>
              <a:miter lim="800000"/>
            </a:ln>
            <a:effectLst/>
          </c:spPr>
          <c:marker>
            <c:symbol val="none"/>
          </c:marker>
          <c:cat>
            <c:strRef>
              <c:f>'1.1.3 G3'!$S$11:$AB$11</c:f>
              <c:strCache>
                <c:ptCount val="10"/>
                <c:pt idx="0">
                  <c:v>Hasta 24</c:v>
                </c:pt>
                <c:pt idx="1">
                  <c:v>25 a 29</c:v>
                </c:pt>
                <c:pt idx="2">
                  <c:v>30 a 34</c:v>
                </c:pt>
                <c:pt idx="3">
                  <c:v>35 a 39</c:v>
                </c:pt>
                <c:pt idx="4">
                  <c:v>40 a 44</c:v>
                </c:pt>
                <c:pt idx="5">
                  <c:v>45 a 49</c:v>
                </c:pt>
                <c:pt idx="6">
                  <c:v>50 a 54</c:v>
                </c:pt>
                <c:pt idx="7">
                  <c:v>55 a 59</c:v>
                </c:pt>
                <c:pt idx="8">
                  <c:v>60 a 64</c:v>
                </c:pt>
                <c:pt idx="9">
                  <c:v>65 y más</c:v>
                </c:pt>
              </c:strCache>
            </c:strRef>
          </c:cat>
          <c:val>
            <c:numRef>
              <c:f>'1.1.3.d'!$E$29:$N$29</c:f>
              <c:numCache>
                <c:formatCode>_ * #,##0_ ;_ * \-#,##0_ ;_ * "-"??_ ;_ @_ </c:formatCode>
                <c:ptCount val="10"/>
                <c:pt idx="0">
                  <c:v>31788</c:v>
                </c:pt>
                <c:pt idx="1">
                  <c:v>42514</c:v>
                </c:pt>
                <c:pt idx="2">
                  <c:v>47745</c:v>
                </c:pt>
                <c:pt idx="3">
                  <c:v>50887</c:v>
                </c:pt>
                <c:pt idx="4">
                  <c:v>50269</c:v>
                </c:pt>
                <c:pt idx="5">
                  <c:v>53243</c:v>
                </c:pt>
                <c:pt idx="6">
                  <c:v>51144</c:v>
                </c:pt>
                <c:pt idx="7">
                  <c:v>52603</c:v>
                </c:pt>
                <c:pt idx="8">
                  <c:v>56122</c:v>
                </c:pt>
                <c:pt idx="9">
                  <c:v>53659</c:v>
                </c:pt>
              </c:numCache>
            </c:numRef>
          </c:val>
          <c:smooth val="0"/>
          <c:extLst xmlns:c16r2="http://schemas.microsoft.com/office/drawing/2015/06/chart">
            <c:ext xmlns:c16="http://schemas.microsoft.com/office/drawing/2014/chart" uri="{C3380CC4-5D6E-409C-BE32-E72D297353CC}">
              <c16:uniqueId val="{00000003-46F7-402F-9299-D8A70FA05881}"/>
            </c:ext>
          </c:extLst>
        </c:ser>
        <c:dLbls>
          <c:showLegendKey val="0"/>
          <c:showVal val="0"/>
          <c:showCatName val="0"/>
          <c:showSerName val="0"/>
          <c:showPercent val="0"/>
          <c:showBubbleSize val="0"/>
        </c:dLbls>
        <c:marker val="1"/>
        <c:smooth val="0"/>
        <c:axId val="295589088"/>
        <c:axId val="295589480"/>
      </c:lineChart>
      <c:catAx>
        <c:axId val="295589088"/>
        <c:scaling>
          <c:orientation val="minMax"/>
        </c:scaling>
        <c:delete val="0"/>
        <c:axPos val="b"/>
        <c:title>
          <c:tx>
            <c:rich>
              <a:bodyPr rot="0" vert="horz"/>
              <a:lstStyle/>
              <a:p>
                <a:pPr>
                  <a:defRPr lang="es-AR"/>
                </a:pPr>
                <a:r>
                  <a:rPr lang="es-AR"/>
                  <a:t>Grupos de edad</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a:lstStyle/>
          <a:p>
            <a:pPr>
              <a:defRPr lang="es-AR"/>
            </a:pPr>
            <a:endParaRPr lang="es-AR"/>
          </a:p>
        </c:txPr>
        <c:crossAx val="295589480"/>
        <c:crosses val="autoZero"/>
        <c:auto val="1"/>
        <c:lblAlgn val="ctr"/>
        <c:lblOffset val="100"/>
        <c:noMultiLvlLbl val="0"/>
      </c:catAx>
      <c:valAx>
        <c:axId val="2955894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lang="es-AR"/>
                </a:pPr>
                <a:r>
                  <a:rPr lang="es-AR"/>
                  <a:t>Rem.</a:t>
                </a:r>
                <a:r>
                  <a:rPr lang="es-AR" baseline="0"/>
                  <a:t> pro</a:t>
                </a:r>
                <a:r>
                  <a:rPr lang="es-AR"/>
                  <a:t>medio mensual (Pesos)</a:t>
                </a:r>
              </a:p>
            </c:rich>
          </c:tx>
          <c:layout/>
          <c:overlay val="0"/>
          <c:spPr>
            <a:noFill/>
            <a:ln>
              <a:noFill/>
            </a:ln>
            <a:effectLst/>
          </c:spPr>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5589088"/>
        <c:crosses val="autoZero"/>
        <c:crossBetween val="between"/>
      </c:valAx>
      <c:valAx>
        <c:axId val="295589872"/>
        <c:scaling>
          <c:orientation val="minMax"/>
        </c:scaling>
        <c:delete val="0"/>
        <c:axPos val="r"/>
        <c:title>
          <c:tx>
            <c:rich>
              <a:bodyPr rot="5400000" vert="horz"/>
              <a:lstStyle/>
              <a:p>
                <a:pPr>
                  <a:defRPr lang="es-AR"/>
                </a:pPr>
                <a:r>
                  <a:rPr lang="es-AR"/>
                  <a:t>Aportantes</a:t>
                </a:r>
              </a:p>
            </c:rich>
          </c:tx>
          <c:layout>
            <c:manualLayout>
              <c:xMode val="edge"/>
              <c:yMode val="edge"/>
              <c:x val="0.94484986876640564"/>
              <c:y val="0.35262598425197011"/>
            </c:manualLayout>
          </c:layout>
          <c:overlay val="0"/>
        </c:title>
        <c:numFmt formatCode="_ * #,##0_ ;_ * \-#,##0_ ;_ * &quot;-&quot;??_ ;_ @_ " sourceLinked="1"/>
        <c:majorTickMark val="out"/>
        <c:minorTickMark val="none"/>
        <c:tickLblPos val="nextTo"/>
        <c:spPr>
          <a:noFill/>
          <a:ln>
            <a:noFill/>
          </a:ln>
          <a:effectLst/>
        </c:spPr>
        <c:txPr>
          <a:bodyPr rot="-60000000" vert="horz"/>
          <a:lstStyle/>
          <a:p>
            <a:pPr>
              <a:defRPr lang="es-AR"/>
            </a:pPr>
            <a:endParaRPr lang="es-AR"/>
          </a:p>
        </c:txPr>
        <c:crossAx val="295590264"/>
        <c:crosses val="max"/>
        <c:crossBetween val="between"/>
      </c:valAx>
      <c:catAx>
        <c:axId val="295590264"/>
        <c:scaling>
          <c:orientation val="minMax"/>
        </c:scaling>
        <c:delete val="1"/>
        <c:axPos val="b"/>
        <c:numFmt formatCode="General" sourceLinked="1"/>
        <c:majorTickMark val="out"/>
        <c:minorTickMark val="none"/>
        <c:tickLblPos val="none"/>
        <c:crossAx val="295589872"/>
        <c:crosses val="autoZero"/>
        <c:auto val="1"/>
        <c:lblAlgn val="ctr"/>
        <c:lblOffset val="100"/>
        <c:noMultiLvlLbl val="0"/>
      </c:catAx>
      <c:spPr>
        <a:noFill/>
        <a:ln>
          <a:noFill/>
        </a:ln>
        <a:effectLst/>
      </c:spPr>
    </c:plotArea>
    <c:legend>
      <c:legendPos val="t"/>
      <c:layout/>
      <c:overlay val="0"/>
      <c:spPr>
        <a:noFill/>
        <a:ln>
          <a:noFill/>
        </a:ln>
        <a:effectLst/>
      </c:spPr>
      <c:txPr>
        <a:bodyPr rot="0" vert="horz"/>
        <a:lstStyle/>
        <a:p>
          <a:pPr>
            <a:defRPr lang="es-AR" sz="600"/>
          </a:pPr>
          <a:endParaRPr lang="es-A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solidFill>
            <a:sysClr val="windowText" lastClr="000000"/>
          </a:solidFill>
        </a:defRPr>
      </a:pPr>
      <a:endParaRPr lang="es-A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111849049790365E-2"/>
          <c:y val="6.4738186007292087E-2"/>
          <c:w val="0.87503104473293403"/>
          <c:h val="0.84855738055367513"/>
        </c:manualLayout>
      </c:layout>
      <c:barChart>
        <c:barDir val="bar"/>
        <c:grouping val="stacked"/>
        <c:varyColors val="0"/>
        <c:ser>
          <c:idx val="0"/>
          <c:order val="0"/>
          <c:tx>
            <c:strRef>
              <c:f>'2.1.2'!$C$3</c:f>
              <c:strCache>
                <c:ptCount val="1"/>
                <c:pt idx="0">
                  <c:v>Varones</c:v>
                </c:pt>
              </c:strCache>
            </c:strRef>
          </c:tx>
          <c:spPr>
            <a:solidFill>
              <a:srgbClr val="0070C0"/>
            </a:solidFill>
            <a:ln>
              <a:solidFill>
                <a:schemeClr val="tx1"/>
              </a:solidFill>
            </a:ln>
            <a:effectLst/>
          </c:spPr>
          <c:invertIfNegative val="0"/>
          <c:cat>
            <c:strRef>
              <c:f>'2.1.2'!$A$6:$A$81</c:f>
              <c:strCache>
                <c:ptCount val="76"/>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pt idx="61">
                  <c:v>81</c:v>
                </c:pt>
                <c:pt idx="62">
                  <c:v>82</c:v>
                </c:pt>
                <c:pt idx="63">
                  <c:v>83</c:v>
                </c:pt>
                <c:pt idx="64">
                  <c:v>84</c:v>
                </c:pt>
                <c:pt idx="65">
                  <c:v>85</c:v>
                </c:pt>
                <c:pt idx="66">
                  <c:v>86</c:v>
                </c:pt>
                <c:pt idx="67">
                  <c:v>87</c:v>
                </c:pt>
                <c:pt idx="68">
                  <c:v>88</c:v>
                </c:pt>
                <c:pt idx="69">
                  <c:v>89</c:v>
                </c:pt>
                <c:pt idx="70">
                  <c:v>90</c:v>
                </c:pt>
                <c:pt idx="71">
                  <c:v>91</c:v>
                </c:pt>
                <c:pt idx="72">
                  <c:v>92</c:v>
                </c:pt>
                <c:pt idx="73">
                  <c:v>93</c:v>
                </c:pt>
                <c:pt idx="74">
                  <c:v>94</c:v>
                </c:pt>
                <c:pt idx="75">
                  <c:v>95 y más</c:v>
                </c:pt>
              </c:strCache>
            </c:strRef>
          </c:cat>
          <c:val>
            <c:numRef>
              <c:f>'2.1.2'!$H$6:$H$81</c:f>
              <c:numCache>
                <c:formatCode>_ * #,##0_ ;_ * \-#,##0_ ;_ * "-"??_ ;_ @_ </c:formatCode>
                <c:ptCount val="76"/>
                <c:pt idx="0">
                  <c:v>-144</c:v>
                </c:pt>
                <c:pt idx="1">
                  <c:v>-127</c:v>
                </c:pt>
                <c:pt idx="2">
                  <c:v>-130</c:v>
                </c:pt>
                <c:pt idx="3">
                  <c:v>-196</c:v>
                </c:pt>
                <c:pt idx="4">
                  <c:v>-233</c:v>
                </c:pt>
                <c:pt idx="5">
                  <c:v>-253</c:v>
                </c:pt>
                <c:pt idx="6">
                  <c:v>-262</c:v>
                </c:pt>
                <c:pt idx="7">
                  <c:v>-252</c:v>
                </c:pt>
                <c:pt idx="8">
                  <c:v>-304</c:v>
                </c:pt>
                <c:pt idx="9">
                  <c:v>-339</c:v>
                </c:pt>
                <c:pt idx="10">
                  <c:v>-379</c:v>
                </c:pt>
                <c:pt idx="11">
                  <c:v>-416</c:v>
                </c:pt>
                <c:pt idx="12">
                  <c:v>-477</c:v>
                </c:pt>
                <c:pt idx="13">
                  <c:v>-545</c:v>
                </c:pt>
                <c:pt idx="14">
                  <c:v>-591</c:v>
                </c:pt>
                <c:pt idx="15">
                  <c:v>-635</c:v>
                </c:pt>
                <c:pt idx="16">
                  <c:v>-750</c:v>
                </c:pt>
                <c:pt idx="17">
                  <c:v>-917</c:v>
                </c:pt>
                <c:pt idx="18">
                  <c:v>-1052</c:v>
                </c:pt>
                <c:pt idx="19">
                  <c:v>-1160</c:v>
                </c:pt>
                <c:pt idx="20">
                  <c:v>-1273</c:v>
                </c:pt>
                <c:pt idx="21">
                  <c:v>-1370</c:v>
                </c:pt>
                <c:pt idx="22">
                  <c:v>-1560</c:v>
                </c:pt>
                <c:pt idx="23">
                  <c:v>-1591</c:v>
                </c:pt>
                <c:pt idx="24">
                  <c:v>-1695</c:v>
                </c:pt>
                <c:pt idx="25">
                  <c:v>-1916</c:v>
                </c:pt>
                <c:pt idx="26">
                  <c:v>-1910</c:v>
                </c:pt>
                <c:pt idx="27">
                  <c:v>-2288</c:v>
                </c:pt>
                <c:pt idx="28">
                  <c:v>-2744</c:v>
                </c:pt>
                <c:pt idx="29">
                  <c:v>-3059</c:v>
                </c:pt>
                <c:pt idx="30">
                  <c:v>-3390</c:v>
                </c:pt>
                <c:pt idx="31">
                  <c:v>-3709</c:v>
                </c:pt>
                <c:pt idx="32">
                  <c:v>-4174</c:v>
                </c:pt>
                <c:pt idx="33">
                  <c:v>-4530</c:v>
                </c:pt>
                <c:pt idx="34">
                  <c:v>-5216</c:v>
                </c:pt>
                <c:pt idx="35">
                  <c:v>-6072</c:v>
                </c:pt>
                <c:pt idx="36">
                  <c:v>-8167</c:v>
                </c:pt>
                <c:pt idx="37">
                  <c:v>-11414</c:v>
                </c:pt>
                <c:pt idx="38">
                  <c:v>-13511</c:v>
                </c:pt>
                <c:pt idx="39">
                  <c:v>-14503</c:v>
                </c:pt>
                <c:pt idx="40">
                  <c:v>-16534</c:v>
                </c:pt>
                <c:pt idx="41">
                  <c:v>-19465</c:v>
                </c:pt>
                <c:pt idx="42">
                  <c:v>-21669</c:v>
                </c:pt>
                <c:pt idx="43">
                  <c:v>-25037</c:v>
                </c:pt>
                <c:pt idx="44">
                  <c:v>-27008</c:v>
                </c:pt>
                <c:pt idx="45">
                  <c:v>-47694</c:v>
                </c:pt>
                <c:pt idx="46">
                  <c:v>-76103</c:v>
                </c:pt>
                <c:pt idx="47">
                  <c:v>-85842</c:v>
                </c:pt>
                <c:pt idx="48">
                  <c:v>-99801</c:v>
                </c:pt>
                <c:pt idx="49">
                  <c:v>-126751</c:v>
                </c:pt>
                <c:pt idx="50">
                  <c:v>-123917</c:v>
                </c:pt>
                <c:pt idx="51">
                  <c:v>-118310</c:v>
                </c:pt>
                <c:pt idx="52">
                  <c:v>-111862</c:v>
                </c:pt>
                <c:pt idx="53">
                  <c:v>-105697</c:v>
                </c:pt>
                <c:pt idx="54">
                  <c:v>-98639</c:v>
                </c:pt>
                <c:pt idx="55">
                  <c:v>-93492</c:v>
                </c:pt>
                <c:pt idx="56">
                  <c:v>-83690</c:v>
                </c:pt>
                <c:pt idx="57">
                  <c:v>-75493</c:v>
                </c:pt>
                <c:pt idx="58">
                  <c:v>-68580</c:v>
                </c:pt>
                <c:pt idx="59">
                  <c:v>-63615</c:v>
                </c:pt>
                <c:pt idx="60">
                  <c:v>-59662</c:v>
                </c:pt>
                <c:pt idx="61">
                  <c:v>-51119</c:v>
                </c:pt>
                <c:pt idx="62">
                  <c:v>-45349</c:v>
                </c:pt>
                <c:pt idx="63">
                  <c:v>-40529</c:v>
                </c:pt>
                <c:pt idx="64">
                  <c:v>-35367</c:v>
                </c:pt>
                <c:pt idx="65">
                  <c:v>-31707</c:v>
                </c:pt>
                <c:pt idx="66">
                  <c:v>-26529</c:v>
                </c:pt>
                <c:pt idx="67">
                  <c:v>-23102</c:v>
                </c:pt>
                <c:pt idx="68">
                  <c:v>-20466</c:v>
                </c:pt>
                <c:pt idx="69">
                  <c:v>-17296</c:v>
                </c:pt>
                <c:pt idx="70">
                  <c:v>-13410</c:v>
                </c:pt>
                <c:pt idx="71">
                  <c:v>-10746</c:v>
                </c:pt>
                <c:pt idx="72">
                  <c:v>-7978</c:v>
                </c:pt>
                <c:pt idx="73">
                  <c:v>-5995</c:v>
                </c:pt>
                <c:pt idx="74">
                  <c:v>-4436</c:v>
                </c:pt>
                <c:pt idx="75">
                  <c:v>-8810</c:v>
                </c:pt>
              </c:numCache>
            </c:numRef>
          </c:val>
          <c:extLst xmlns:c16r2="http://schemas.microsoft.com/office/drawing/2015/06/chart">
            <c:ext xmlns:c16="http://schemas.microsoft.com/office/drawing/2014/chart" uri="{C3380CC4-5D6E-409C-BE32-E72D297353CC}">
              <c16:uniqueId val="{00000000-1632-4ED6-809F-E71269226C54}"/>
            </c:ext>
          </c:extLst>
        </c:ser>
        <c:ser>
          <c:idx val="1"/>
          <c:order val="1"/>
          <c:tx>
            <c:strRef>
              <c:f>'2.1.2'!$D$3</c:f>
              <c:strCache>
                <c:ptCount val="1"/>
                <c:pt idx="0">
                  <c:v>Mujeres</c:v>
                </c:pt>
              </c:strCache>
            </c:strRef>
          </c:tx>
          <c:spPr>
            <a:solidFill>
              <a:srgbClr val="00B0F0"/>
            </a:solidFill>
            <a:ln>
              <a:solidFill>
                <a:schemeClr val="tx1"/>
              </a:solidFill>
            </a:ln>
            <a:effectLst/>
          </c:spPr>
          <c:invertIfNegative val="0"/>
          <c:cat>
            <c:strRef>
              <c:f>'2.1.2'!$A$6:$A$81</c:f>
              <c:strCache>
                <c:ptCount val="76"/>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pt idx="61">
                  <c:v>81</c:v>
                </c:pt>
                <c:pt idx="62">
                  <c:v>82</c:v>
                </c:pt>
                <c:pt idx="63">
                  <c:v>83</c:v>
                </c:pt>
                <c:pt idx="64">
                  <c:v>84</c:v>
                </c:pt>
                <c:pt idx="65">
                  <c:v>85</c:v>
                </c:pt>
                <c:pt idx="66">
                  <c:v>86</c:v>
                </c:pt>
                <c:pt idx="67">
                  <c:v>87</c:v>
                </c:pt>
                <c:pt idx="68">
                  <c:v>88</c:v>
                </c:pt>
                <c:pt idx="69">
                  <c:v>89</c:v>
                </c:pt>
                <c:pt idx="70">
                  <c:v>90</c:v>
                </c:pt>
                <c:pt idx="71">
                  <c:v>91</c:v>
                </c:pt>
                <c:pt idx="72">
                  <c:v>92</c:v>
                </c:pt>
                <c:pt idx="73">
                  <c:v>93</c:v>
                </c:pt>
                <c:pt idx="74">
                  <c:v>94</c:v>
                </c:pt>
                <c:pt idx="75">
                  <c:v>95 y más</c:v>
                </c:pt>
              </c:strCache>
            </c:strRef>
          </c:cat>
          <c:val>
            <c:numRef>
              <c:f>'2.1.2'!$I$6:$I$81</c:f>
              <c:numCache>
                <c:formatCode>_ * #,##0_ ;_ * \-#,##0_ ;_ * "-"??_ ;_ @_ </c:formatCode>
                <c:ptCount val="76"/>
                <c:pt idx="0">
                  <c:v>118</c:v>
                </c:pt>
                <c:pt idx="1">
                  <c:v>127</c:v>
                </c:pt>
                <c:pt idx="2">
                  <c:v>136</c:v>
                </c:pt>
                <c:pt idx="3">
                  <c:v>182</c:v>
                </c:pt>
                <c:pt idx="4">
                  <c:v>223</c:v>
                </c:pt>
                <c:pt idx="5">
                  <c:v>298</c:v>
                </c:pt>
                <c:pt idx="6">
                  <c:v>288</c:v>
                </c:pt>
                <c:pt idx="7">
                  <c:v>371</c:v>
                </c:pt>
                <c:pt idx="8">
                  <c:v>477</c:v>
                </c:pt>
                <c:pt idx="9">
                  <c:v>573</c:v>
                </c:pt>
                <c:pt idx="10">
                  <c:v>617</c:v>
                </c:pt>
                <c:pt idx="11">
                  <c:v>809</c:v>
                </c:pt>
                <c:pt idx="12">
                  <c:v>880</c:v>
                </c:pt>
                <c:pt idx="13">
                  <c:v>1104</c:v>
                </c:pt>
                <c:pt idx="14">
                  <c:v>1190</c:v>
                </c:pt>
                <c:pt idx="15">
                  <c:v>1362</c:v>
                </c:pt>
                <c:pt idx="16">
                  <c:v>1499</c:v>
                </c:pt>
                <c:pt idx="17">
                  <c:v>1783</c:v>
                </c:pt>
                <c:pt idx="18">
                  <c:v>2041</c:v>
                </c:pt>
                <c:pt idx="19">
                  <c:v>2234</c:v>
                </c:pt>
                <c:pt idx="20">
                  <c:v>2628</c:v>
                </c:pt>
                <c:pt idx="21">
                  <c:v>2965</c:v>
                </c:pt>
                <c:pt idx="22">
                  <c:v>3115</c:v>
                </c:pt>
                <c:pt idx="23">
                  <c:v>3368</c:v>
                </c:pt>
                <c:pt idx="24">
                  <c:v>3639</c:v>
                </c:pt>
                <c:pt idx="25">
                  <c:v>3880</c:v>
                </c:pt>
                <c:pt idx="26">
                  <c:v>3974</c:v>
                </c:pt>
                <c:pt idx="27">
                  <c:v>4593</c:v>
                </c:pt>
                <c:pt idx="28">
                  <c:v>5216</c:v>
                </c:pt>
                <c:pt idx="29">
                  <c:v>5648</c:v>
                </c:pt>
                <c:pt idx="30">
                  <c:v>6168</c:v>
                </c:pt>
                <c:pt idx="31">
                  <c:v>6562</c:v>
                </c:pt>
                <c:pt idx="32">
                  <c:v>7649</c:v>
                </c:pt>
                <c:pt idx="33">
                  <c:v>8248</c:v>
                </c:pt>
                <c:pt idx="34">
                  <c:v>9275</c:v>
                </c:pt>
                <c:pt idx="35">
                  <c:v>10550</c:v>
                </c:pt>
                <c:pt idx="36">
                  <c:v>11973</c:v>
                </c:pt>
                <c:pt idx="37">
                  <c:v>14233</c:v>
                </c:pt>
                <c:pt idx="38">
                  <c:v>17966</c:v>
                </c:pt>
                <c:pt idx="39">
                  <c:v>20492</c:v>
                </c:pt>
                <c:pt idx="40">
                  <c:v>38250</c:v>
                </c:pt>
                <c:pt idx="41">
                  <c:v>80835</c:v>
                </c:pt>
                <c:pt idx="42">
                  <c:v>112883</c:v>
                </c:pt>
                <c:pt idx="43">
                  <c:v>147180</c:v>
                </c:pt>
                <c:pt idx="44">
                  <c:v>156952</c:v>
                </c:pt>
                <c:pt idx="45">
                  <c:v>160636</c:v>
                </c:pt>
                <c:pt idx="46">
                  <c:v>157329</c:v>
                </c:pt>
                <c:pt idx="47">
                  <c:v>156701</c:v>
                </c:pt>
                <c:pt idx="48">
                  <c:v>152470</c:v>
                </c:pt>
                <c:pt idx="49">
                  <c:v>150748</c:v>
                </c:pt>
                <c:pt idx="50">
                  <c:v>146826</c:v>
                </c:pt>
                <c:pt idx="51">
                  <c:v>143572</c:v>
                </c:pt>
                <c:pt idx="52">
                  <c:v>138848</c:v>
                </c:pt>
                <c:pt idx="53">
                  <c:v>134824</c:v>
                </c:pt>
                <c:pt idx="54">
                  <c:v>128652</c:v>
                </c:pt>
                <c:pt idx="55">
                  <c:v>125703</c:v>
                </c:pt>
                <c:pt idx="56">
                  <c:v>116730</c:v>
                </c:pt>
                <c:pt idx="57">
                  <c:v>108007</c:v>
                </c:pt>
                <c:pt idx="58">
                  <c:v>100982</c:v>
                </c:pt>
                <c:pt idx="59">
                  <c:v>96655</c:v>
                </c:pt>
                <c:pt idx="60">
                  <c:v>94077</c:v>
                </c:pt>
                <c:pt idx="61">
                  <c:v>85135</c:v>
                </c:pt>
                <c:pt idx="62">
                  <c:v>78072</c:v>
                </c:pt>
                <c:pt idx="63">
                  <c:v>73479</c:v>
                </c:pt>
                <c:pt idx="64">
                  <c:v>67176</c:v>
                </c:pt>
                <c:pt idx="65">
                  <c:v>62425</c:v>
                </c:pt>
                <c:pt idx="66">
                  <c:v>55306</c:v>
                </c:pt>
                <c:pt idx="67">
                  <c:v>50812</c:v>
                </c:pt>
                <c:pt idx="68">
                  <c:v>46622</c:v>
                </c:pt>
                <c:pt idx="69">
                  <c:v>42139</c:v>
                </c:pt>
                <c:pt idx="70">
                  <c:v>35531</c:v>
                </c:pt>
                <c:pt idx="71">
                  <c:v>29728</c:v>
                </c:pt>
                <c:pt idx="72">
                  <c:v>23799</c:v>
                </c:pt>
                <c:pt idx="73">
                  <c:v>19097</c:v>
                </c:pt>
                <c:pt idx="74">
                  <c:v>14594</c:v>
                </c:pt>
                <c:pt idx="75">
                  <c:v>35959</c:v>
                </c:pt>
              </c:numCache>
            </c:numRef>
          </c:val>
          <c:extLst xmlns:c16r2="http://schemas.microsoft.com/office/drawing/2015/06/chart">
            <c:ext xmlns:c16="http://schemas.microsoft.com/office/drawing/2014/chart" uri="{C3380CC4-5D6E-409C-BE32-E72D297353CC}">
              <c16:uniqueId val="{00000001-1632-4ED6-809F-E71269226C54}"/>
            </c:ext>
          </c:extLst>
        </c:ser>
        <c:dLbls>
          <c:showLegendKey val="0"/>
          <c:showVal val="0"/>
          <c:showCatName val="0"/>
          <c:showSerName val="0"/>
          <c:showPercent val="0"/>
          <c:showBubbleSize val="0"/>
        </c:dLbls>
        <c:gapWidth val="0"/>
        <c:overlap val="100"/>
        <c:axId val="109060872"/>
        <c:axId val="109061264"/>
      </c:barChart>
      <c:catAx>
        <c:axId val="109060872"/>
        <c:scaling>
          <c:orientation val="minMax"/>
        </c:scaling>
        <c:delete val="0"/>
        <c:axPos val="l"/>
        <c:majorGridlines/>
        <c:title>
          <c:tx>
            <c:rich>
              <a:bodyPr rot="-5400000" vert="horz"/>
              <a:lstStyle/>
              <a:p>
                <a:pPr>
                  <a:defRPr/>
                </a:pPr>
                <a:r>
                  <a:rPr lang="es-AR"/>
                  <a:t>Edad</a:t>
                </a:r>
              </a:p>
            </c:rich>
          </c:tx>
          <c:layout/>
          <c:overlay val="0"/>
          <c:spPr>
            <a:noFill/>
            <a:ln>
              <a:noFill/>
            </a:ln>
            <a:effectLst/>
          </c:spPr>
        </c:title>
        <c:numFmt formatCode="General" sourceLinked="1"/>
        <c:majorTickMark val="none"/>
        <c:minorTickMark val="none"/>
        <c:tickLblPos val="low"/>
        <c:spPr>
          <a:noFill/>
          <a:ln w="9525" cap="flat" cmpd="sng" algn="ctr">
            <a:solidFill>
              <a:schemeClr val="tx1"/>
            </a:solidFill>
            <a:round/>
          </a:ln>
          <a:effectLst/>
        </c:spPr>
        <c:txPr>
          <a:bodyPr rot="-60000000" vert="horz"/>
          <a:lstStyle/>
          <a:p>
            <a:pPr>
              <a:defRPr/>
            </a:pPr>
            <a:endParaRPr lang="es-AR"/>
          </a:p>
        </c:txPr>
        <c:crossAx val="109061264"/>
        <c:crosses val="autoZero"/>
        <c:auto val="1"/>
        <c:lblAlgn val="ctr"/>
        <c:lblOffset val="100"/>
        <c:tickLblSkip val="5"/>
        <c:tickMarkSkip val="5"/>
        <c:noMultiLvlLbl val="0"/>
      </c:catAx>
      <c:valAx>
        <c:axId val="109061264"/>
        <c:scaling>
          <c:orientation val="minMax"/>
          <c:min val="-200000"/>
        </c:scaling>
        <c:delete val="0"/>
        <c:axPos val="b"/>
        <c:majorGridlines>
          <c:spPr>
            <a:ln w="9525" cap="flat" cmpd="sng" algn="ctr">
              <a:solidFill>
                <a:schemeClr val="tx1">
                  <a:lumMod val="15000"/>
                  <a:lumOff val="85000"/>
                </a:schemeClr>
              </a:solidFill>
              <a:round/>
            </a:ln>
            <a:effectLst/>
          </c:spPr>
        </c:majorGridlines>
        <c:title>
          <c:tx>
            <c:rich>
              <a:bodyPr rot="0" vert="horz"/>
              <a:lstStyle/>
              <a:p>
                <a:pPr>
                  <a:defRPr/>
                </a:pPr>
                <a:r>
                  <a:rPr lang="es-AR"/>
                  <a:t>Miles de personas</a:t>
                </a:r>
              </a:p>
            </c:rich>
          </c:tx>
          <c:layout/>
          <c:overlay val="0"/>
          <c:spPr>
            <a:noFill/>
            <a:ln>
              <a:noFill/>
            </a:ln>
            <a:effectLst/>
          </c:spPr>
        </c:title>
        <c:numFmt formatCode="#,##0,;#,##0," sourceLinked="0"/>
        <c:majorTickMark val="none"/>
        <c:minorTickMark val="none"/>
        <c:tickLblPos val="nextTo"/>
        <c:spPr>
          <a:noFill/>
          <a:ln>
            <a:solidFill>
              <a:schemeClr val="tx1"/>
            </a:solidFill>
          </a:ln>
          <a:effectLst/>
        </c:spPr>
        <c:txPr>
          <a:bodyPr rot="-60000000" vert="horz"/>
          <a:lstStyle/>
          <a:p>
            <a:pPr>
              <a:defRPr/>
            </a:pPr>
            <a:endParaRPr lang="es-AR"/>
          </a:p>
        </c:txPr>
        <c:crossAx val="109060872"/>
        <c:crosses val="autoZero"/>
        <c:crossBetween val="between"/>
      </c:valAx>
      <c:spPr>
        <a:noFill/>
        <a:ln>
          <a:noFill/>
        </a:ln>
        <a:effectLst/>
      </c:spPr>
    </c:plotArea>
    <c:legend>
      <c:legendPos val="t"/>
      <c:layout>
        <c:manualLayout>
          <c:xMode val="edge"/>
          <c:yMode val="edge"/>
          <c:x val="0.79575280362682244"/>
          <c:y val="0.68635384377857755"/>
          <c:w val="0.13576692913385827"/>
          <c:h val="9.7444210876355367E-2"/>
        </c:manualLayout>
      </c:layout>
      <c:overlay val="0"/>
      <c:spPr>
        <a:solidFill>
          <a:schemeClr val="bg1"/>
        </a:solidFill>
        <a:ln>
          <a:solidFill>
            <a:srgbClr val="00B0F0"/>
          </a:solidFill>
        </a:ln>
        <a:effectLst/>
      </c:spPr>
      <c:txPr>
        <a:bodyPr rot="0" vert="horz"/>
        <a:lstStyle/>
        <a:p>
          <a:pPr>
            <a:defRPr/>
          </a:pPr>
          <a:endParaRPr lang="es-A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es-AR"/>
    </a:p>
  </c:tx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7F2342-7FFD-4B07-921A-CA00BC9C79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38</Pages>
  <Words>11381</Words>
  <Characters>62600</Characters>
  <Application>Microsoft Office Word</Application>
  <DocSecurity>0</DocSecurity>
  <Lines>521</Lines>
  <Paragraphs>147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73834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gabriela marinelli</dc:creator>
  <cp:keywords/>
  <dc:description/>
  <cp:lastModifiedBy>Hernan Pablo Castillejo</cp:lastModifiedBy>
  <cp:revision>7</cp:revision>
  <dcterms:created xsi:type="dcterms:W3CDTF">2020-10-26T20:41:00Z</dcterms:created>
  <dcterms:modified xsi:type="dcterms:W3CDTF">2020-11-03T14:24:00Z</dcterms:modified>
</cp:coreProperties>
</file>